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21" w:rsidRDefault="00135021"/>
    <w:tbl>
      <w:tblPr>
        <w:tblStyle w:val="TableauGrille4-Accentuation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42"/>
        <w:gridCol w:w="5622"/>
      </w:tblGrid>
      <w:tr w:rsidR="000836EA" w:rsidRPr="00135021" w:rsidTr="00AE2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vAlign w:val="center"/>
          </w:tcPr>
          <w:p w:rsidR="000836EA" w:rsidRPr="00135021" w:rsidRDefault="00135021" w:rsidP="000836EA">
            <w:pPr>
              <w:pStyle w:val="Paragraphedeliste"/>
              <w:numPr>
                <w:ilvl w:val="0"/>
                <w:numId w:val="1"/>
              </w:numPr>
              <w:ind w:left="360"/>
              <w:rPr>
                <w:sz w:val="32"/>
                <w:lang w:val="fr-FR"/>
              </w:rPr>
            </w:pPr>
            <w:r w:rsidRPr="00135021">
              <w:rPr>
                <w:sz w:val="32"/>
                <w:lang w:val="fr-FR"/>
              </w:rPr>
              <w:t>SE REPÉRER DANS LE TEMPS ET L’ESPACE</w:t>
            </w:r>
          </w:p>
        </w:tc>
      </w:tr>
      <w:tr w:rsidR="000836EA" w:rsidRPr="000836EA" w:rsidTr="00AE2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shd w:val="clear" w:color="auto" w:fill="FFFFFF" w:themeFill="background1"/>
            <w:vAlign w:val="center"/>
          </w:tcPr>
          <w:p w:rsidR="00135021" w:rsidRDefault="000836EA" w:rsidP="000836EA">
            <w:pPr>
              <w:rPr>
                <w:lang w:val="fr-FR"/>
              </w:rPr>
            </w:pPr>
            <w:r w:rsidRPr="000836EA">
              <w:rPr>
                <w:lang w:val="fr-FR"/>
              </w:rPr>
              <w:t xml:space="preserve">Attendus de fin de cycle : </w:t>
            </w:r>
          </w:p>
          <w:p w:rsidR="000836EA" w:rsidRPr="00135021" w:rsidRDefault="000836EA" w:rsidP="000836EA">
            <w:pPr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Mémoriser les repères historiques et géographiques liés au programme et savoir les mobiliser dans différents contextes.</w:t>
            </w:r>
          </w:p>
        </w:tc>
      </w:tr>
      <w:tr w:rsidR="000836EA" w:rsidRPr="00135021" w:rsidTr="00AE2725">
        <w:trPr>
          <w:trHeight w:hRule="exact"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2" w:type="dxa"/>
            <w:shd w:val="clear" w:color="auto" w:fill="F2F2F2" w:themeFill="background1" w:themeFillShade="F2"/>
            <w:vAlign w:val="center"/>
          </w:tcPr>
          <w:p w:rsidR="000836EA" w:rsidRPr="00135021" w:rsidRDefault="000836EA" w:rsidP="000836EA">
            <w:pPr>
              <w:jc w:val="center"/>
              <w:rPr>
                <w:i/>
                <w:lang w:val="fr-FR"/>
              </w:rPr>
            </w:pPr>
            <w:r w:rsidRPr="00135021">
              <w:rPr>
                <w:i/>
                <w:lang w:val="fr-FR"/>
              </w:rPr>
              <w:t>Composantes de la compétence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shd w:val="clear" w:color="auto" w:fill="F2F2F2" w:themeFill="background1" w:themeFillShade="F2"/>
            <w:vAlign w:val="center"/>
          </w:tcPr>
          <w:p w:rsidR="000836EA" w:rsidRPr="00135021" w:rsidRDefault="000836EA" w:rsidP="000836EA">
            <w:pPr>
              <w:jc w:val="center"/>
              <w:rPr>
                <w:i/>
                <w:lang w:val="fr-FR"/>
              </w:rPr>
            </w:pPr>
            <w:r w:rsidRPr="00135021">
              <w:rPr>
                <w:i/>
                <w:lang w:val="fr-FR"/>
              </w:rPr>
              <w:t>Démarches pour apprendre, outils et supports</w:t>
            </w:r>
          </w:p>
        </w:tc>
      </w:tr>
      <w:tr w:rsidR="000836EA" w:rsidRPr="00135021" w:rsidTr="00AE2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vAlign w:val="center"/>
          </w:tcPr>
          <w:p w:rsidR="000836EA" w:rsidRPr="00135021" w:rsidRDefault="000836EA" w:rsidP="000836EA">
            <w:pPr>
              <w:jc w:val="center"/>
              <w:rPr>
                <w:lang w:val="fr-FR"/>
              </w:rPr>
            </w:pPr>
            <w:r w:rsidRPr="00135021">
              <w:rPr>
                <w:lang w:val="fr-FR"/>
              </w:rPr>
              <w:t>SE REPÉRER DANS LE TEMPS : CONSTRUIRE DES REPÈRES HISTORIQUES</w:t>
            </w:r>
          </w:p>
        </w:tc>
      </w:tr>
      <w:tr w:rsidR="000836EA" w:rsidRPr="000836EA" w:rsidTr="00AE2725">
        <w:trPr>
          <w:trHeight w:hRule="exact" w:val="30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2" w:type="dxa"/>
            <w:vAlign w:val="center"/>
          </w:tcPr>
          <w:p w:rsidR="000836EA" w:rsidRPr="00135021" w:rsidRDefault="000836EA" w:rsidP="00AE2725">
            <w:pPr>
              <w:jc w:val="both"/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­ Localiser et caractériser un fait.</w:t>
            </w:r>
          </w:p>
          <w:p w:rsidR="000836EA" w:rsidRPr="00135021" w:rsidRDefault="000836EA" w:rsidP="00AE2725">
            <w:pPr>
              <w:jc w:val="both"/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­ Situer un fait dans une époque ou une période donnée.</w:t>
            </w:r>
          </w:p>
          <w:p w:rsidR="000836EA" w:rsidRPr="00135021" w:rsidRDefault="000836EA" w:rsidP="00AE2725">
            <w:pPr>
              <w:jc w:val="both"/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­ Ordonner des faits les uns par rapport aux autres.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vAlign w:val="center"/>
          </w:tcPr>
          <w:p w:rsidR="000836EA" w:rsidRPr="00135021" w:rsidRDefault="000836EA" w:rsidP="00AE2725">
            <w:pPr>
              <w:jc w:val="both"/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­ Étudier les faits en les reliant à des événements, des acteurs, des œuvres, des</w:t>
            </w:r>
          </w:p>
          <w:p w:rsidR="000836EA" w:rsidRPr="00135021" w:rsidRDefault="000836EA" w:rsidP="00AE2725">
            <w:pPr>
              <w:jc w:val="both"/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lieux,... pour les caractériser. Manipuler et réinvestir le repère historique dans différents contextes. Susciter très régulièrement des rapprochements, des mises en relation pour situer les faits étudiés.</w:t>
            </w:r>
          </w:p>
          <w:p w:rsidR="000836EA" w:rsidRPr="00135021" w:rsidRDefault="000836EA" w:rsidP="00AE2725">
            <w:pPr>
              <w:jc w:val="both"/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­ Utiliser des documents donnant à voir une représentation du temps (dont les frises chronologiques), à différentes échelles, et le lexique relatif au découpage du temps et suscitant la mise en perspective des faits.</w:t>
            </w:r>
          </w:p>
        </w:tc>
      </w:tr>
      <w:tr w:rsidR="000836EA" w:rsidRPr="00135021" w:rsidTr="00AE2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vAlign w:val="center"/>
          </w:tcPr>
          <w:p w:rsidR="000836EA" w:rsidRPr="00135021" w:rsidRDefault="000836EA" w:rsidP="000836EA">
            <w:pPr>
              <w:jc w:val="center"/>
              <w:rPr>
                <w:lang w:val="fr-FR"/>
              </w:rPr>
            </w:pPr>
            <w:r w:rsidRPr="00135021">
              <w:rPr>
                <w:lang w:val="fr-FR"/>
              </w:rPr>
              <w:t>SE REPÉRER DANS L’ESPACE : CONSTRUIRE DES REPÈRES GÉOGRAPHIQUES</w:t>
            </w:r>
          </w:p>
        </w:tc>
      </w:tr>
      <w:tr w:rsidR="000836EA" w:rsidRPr="000836EA" w:rsidTr="00AE2725">
        <w:trPr>
          <w:trHeight w:hRule="exact" w:val="2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2" w:type="dxa"/>
            <w:tcBorders>
              <w:bottom w:val="single" w:sz="4" w:space="0" w:color="9CC2E5" w:themeColor="accent1" w:themeTint="99"/>
            </w:tcBorders>
            <w:vAlign w:val="center"/>
          </w:tcPr>
          <w:p w:rsidR="000836EA" w:rsidRPr="00135021" w:rsidRDefault="000836EA" w:rsidP="00AE2725">
            <w:pPr>
              <w:jc w:val="both"/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­ Nommer et localiser les grands repères géographiques.</w:t>
            </w:r>
          </w:p>
          <w:p w:rsidR="000836EA" w:rsidRPr="00135021" w:rsidRDefault="000836EA" w:rsidP="00AE2725">
            <w:pPr>
              <w:jc w:val="both"/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­ Nommer et localiser un lieu dans un espace géographique.</w:t>
            </w:r>
          </w:p>
          <w:p w:rsidR="000836EA" w:rsidRPr="00135021" w:rsidRDefault="000836EA" w:rsidP="00AE2725">
            <w:pPr>
              <w:jc w:val="both"/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­ Nommer, localiser et caractériser des espaces.</w:t>
            </w:r>
          </w:p>
          <w:p w:rsidR="000836EA" w:rsidRPr="00135021" w:rsidRDefault="000836EA" w:rsidP="00AE2725">
            <w:pPr>
              <w:jc w:val="both"/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­ Situer des lieux et des espaces les uns par rapport aux autres.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22" w:type="dxa"/>
            <w:tcBorders>
              <w:bottom w:val="single" w:sz="4" w:space="0" w:color="9CC2E5" w:themeColor="accent1" w:themeTint="99"/>
            </w:tcBorders>
            <w:vAlign w:val="center"/>
          </w:tcPr>
          <w:p w:rsidR="000836EA" w:rsidRPr="00135021" w:rsidRDefault="000836EA" w:rsidP="00AE2725">
            <w:pPr>
              <w:jc w:val="both"/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­ Relier le repère géographique à construire à l’étude d’une situation</w:t>
            </w:r>
            <w:r w:rsidR="00135021">
              <w:rPr>
                <w:b w:val="0"/>
                <w:lang w:val="fr-FR"/>
              </w:rPr>
              <w:t xml:space="preserve"> </w:t>
            </w:r>
            <w:r w:rsidRPr="00135021">
              <w:rPr>
                <w:b w:val="0"/>
                <w:lang w:val="fr-FR"/>
              </w:rPr>
              <w:t>géographique pour lui donner du sens. Convoquer régulièrement les repères à construire, les faire manipuler et réinvestir dans différents contextes et à différentes échelles.</w:t>
            </w:r>
          </w:p>
          <w:p w:rsidR="000836EA" w:rsidRPr="00135021" w:rsidRDefault="000836EA" w:rsidP="00AE2725">
            <w:pPr>
              <w:jc w:val="both"/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­ Utiliser des cartes à différentes échelles, des photographies de paysages ou de lieux, les outils numériques mettant en œuvre des compétences spatiales, le lexique relatif à la localisation et à la situation des lieux et des espaces.</w:t>
            </w:r>
          </w:p>
        </w:tc>
      </w:tr>
      <w:tr w:rsidR="000836EA" w:rsidRPr="000836EA" w:rsidTr="00AE2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bottom w:val="single" w:sz="4" w:space="0" w:color="5B9BD5" w:themeColor="accent1"/>
            </w:tcBorders>
            <w:vAlign w:val="center"/>
          </w:tcPr>
          <w:p w:rsidR="000836EA" w:rsidRPr="000836EA" w:rsidRDefault="000836EA" w:rsidP="000836EA">
            <w:pPr>
              <w:rPr>
                <w:lang w:val="fr-FR"/>
              </w:rPr>
            </w:pPr>
            <w:r w:rsidRPr="000836EA">
              <w:rPr>
                <w:lang w:val="fr-FR"/>
              </w:rPr>
              <w:t>Repères de progressivité</w:t>
            </w:r>
          </w:p>
        </w:tc>
      </w:tr>
      <w:tr w:rsidR="000836EA" w:rsidRPr="000836EA" w:rsidTr="00AE27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:rsidR="000836EA" w:rsidRPr="00135021" w:rsidRDefault="000836EA" w:rsidP="00AE2725">
            <w:pPr>
              <w:jc w:val="both"/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Les repères introduits sont enrichis tout au long du cycle 3, puis au cycle 4. La perception du temps long et des espaces à différentes échelles se construit</w:t>
            </w:r>
            <w:r w:rsidR="00135021" w:rsidRPr="00135021">
              <w:rPr>
                <w:b w:val="0"/>
                <w:lang w:val="fr-FR"/>
              </w:rPr>
              <w:t xml:space="preserve"> </w:t>
            </w:r>
            <w:r w:rsidRPr="00135021">
              <w:rPr>
                <w:b w:val="0"/>
                <w:lang w:val="fr-FR"/>
              </w:rPr>
              <w:t>progressivement. La représentation du temps et de l’espace demeure compliquée pour un élève du cycle 3 et fait donc l’objet d’un travail régulier dans le quotidien de la classe.</w:t>
            </w:r>
          </w:p>
        </w:tc>
      </w:tr>
    </w:tbl>
    <w:p w:rsidR="00AE2725" w:rsidRDefault="00AE2725" w:rsidP="00AE2725"/>
    <w:tbl>
      <w:tblPr>
        <w:tblStyle w:val="TableauGrille4-Accentuation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64"/>
        <w:gridCol w:w="6100"/>
      </w:tblGrid>
      <w:tr w:rsidR="00AE2725" w:rsidRPr="00135021" w:rsidTr="003E5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vAlign w:val="center"/>
          </w:tcPr>
          <w:p w:rsidR="00AE2725" w:rsidRPr="00135021" w:rsidRDefault="00AE2725" w:rsidP="003E566A">
            <w:pPr>
              <w:pStyle w:val="Paragraphedeliste"/>
              <w:numPr>
                <w:ilvl w:val="0"/>
                <w:numId w:val="1"/>
              </w:numPr>
              <w:ind w:left="360"/>
              <w:rPr>
                <w:sz w:val="32"/>
                <w:lang w:val="fr-FR"/>
              </w:rPr>
            </w:pPr>
            <w:r w:rsidRPr="00135021">
              <w:rPr>
                <w:sz w:val="32"/>
                <w:lang w:val="fr-FR"/>
              </w:rPr>
              <w:t>COOPÉRER ET MUTUALISER</w:t>
            </w:r>
          </w:p>
        </w:tc>
      </w:tr>
      <w:tr w:rsidR="00AE2725" w:rsidRPr="000836EA" w:rsidTr="003E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shd w:val="clear" w:color="auto" w:fill="FFFFFF" w:themeFill="background1"/>
            <w:vAlign w:val="center"/>
          </w:tcPr>
          <w:p w:rsidR="00AE2725" w:rsidRPr="000836EA" w:rsidRDefault="00AE2725" w:rsidP="003E566A">
            <w:pPr>
              <w:rPr>
                <w:lang w:val="fr-FR"/>
              </w:rPr>
            </w:pPr>
            <w:r w:rsidRPr="000836EA">
              <w:rPr>
                <w:lang w:val="fr-FR"/>
              </w:rPr>
              <w:t xml:space="preserve">Attendus de fin de cycle : </w:t>
            </w:r>
            <w:r w:rsidRPr="00AE2725">
              <w:rPr>
                <w:b w:val="0"/>
                <w:lang w:val="fr-FR"/>
              </w:rPr>
              <w:t>Réaliser une production collective</w:t>
            </w:r>
          </w:p>
        </w:tc>
      </w:tr>
      <w:tr w:rsidR="00AE2725" w:rsidRPr="00135021" w:rsidTr="003E566A">
        <w:trPr>
          <w:trHeight w:hRule="exact"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2F2F2" w:themeFill="background1" w:themeFillShade="F2"/>
            <w:vAlign w:val="center"/>
          </w:tcPr>
          <w:p w:rsidR="00AE2725" w:rsidRPr="00135021" w:rsidRDefault="00AE2725" w:rsidP="003E566A">
            <w:pPr>
              <w:jc w:val="center"/>
              <w:rPr>
                <w:i/>
                <w:lang w:val="fr-FR"/>
              </w:rPr>
            </w:pPr>
            <w:r w:rsidRPr="00135021">
              <w:rPr>
                <w:i/>
                <w:lang w:val="fr-FR"/>
              </w:rPr>
              <w:t>Composantes de la compétence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0" w:type="dxa"/>
            <w:shd w:val="clear" w:color="auto" w:fill="F2F2F2" w:themeFill="background1" w:themeFillShade="F2"/>
            <w:vAlign w:val="center"/>
          </w:tcPr>
          <w:p w:rsidR="00AE2725" w:rsidRPr="00135021" w:rsidRDefault="00AE2725" w:rsidP="003E566A">
            <w:pPr>
              <w:jc w:val="center"/>
              <w:rPr>
                <w:i/>
                <w:lang w:val="fr-FR"/>
              </w:rPr>
            </w:pPr>
            <w:r w:rsidRPr="00135021">
              <w:rPr>
                <w:i/>
                <w:lang w:val="fr-FR"/>
              </w:rPr>
              <w:t>Démarches pour apprendre, outils et supports</w:t>
            </w:r>
          </w:p>
        </w:tc>
      </w:tr>
      <w:tr w:rsidR="00AE2725" w:rsidRPr="00AE2725" w:rsidTr="003E5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:rsidR="00AE2725" w:rsidRPr="00AE2725" w:rsidRDefault="00AE2725" w:rsidP="003E566A">
            <w:pPr>
              <w:rPr>
                <w:b w:val="0"/>
                <w:lang w:val="fr-FR"/>
              </w:rPr>
            </w:pPr>
            <w:r w:rsidRPr="00AE2725">
              <w:rPr>
                <w:b w:val="0"/>
                <w:lang w:val="fr-FR"/>
              </w:rPr>
              <w:t>­ Travailler en groupe pour élaborer une tâche commune et/ou une production collective.</w:t>
            </w:r>
          </w:p>
          <w:p w:rsidR="00AE2725" w:rsidRPr="00AE2725" w:rsidRDefault="00AE2725" w:rsidP="003E566A">
            <w:pPr>
              <w:rPr>
                <w:b w:val="0"/>
                <w:lang w:val="fr-FR"/>
              </w:rPr>
            </w:pPr>
            <w:r w:rsidRPr="00AE2725">
              <w:rPr>
                <w:b w:val="0"/>
                <w:lang w:val="fr-FR"/>
              </w:rPr>
              <w:t>­ Travailler en commun pour faciliter les apprentissages individuels.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0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:rsidR="00AE2725" w:rsidRPr="00AE2725" w:rsidRDefault="00AE2725" w:rsidP="003E566A">
            <w:pPr>
              <w:rPr>
                <w:b w:val="0"/>
                <w:lang w:val="fr-FR"/>
              </w:rPr>
            </w:pPr>
            <w:r w:rsidRPr="00AE2725">
              <w:rPr>
                <w:b w:val="0"/>
                <w:lang w:val="fr-FR"/>
              </w:rPr>
              <w:t>Mettre à la disposition des autres ses compétences et ses connaissances. Discuter, expliquer pour défendre ses choix. Organiser son travail dans le cadre</w:t>
            </w:r>
          </w:p>
          <w:p w:rsidR="00AE2725" w:rsidRPr="00AE2725" w:rsidRDefault="00AE2725" w:rsidP="003E566A">
            <w:pPr>
              <w:rPr>
                <w:b w:val="0"/>
                <w:lang w:val="fr-FR"/>
              </w:rPr>
            </w:pPr>
            <w:r w:rsidRPr="00AE2725">
              <w:rPr>
                <w:b w:val="0"/>
                <w:lang w:val="fr-FR"/>
              </w:rPr>
              <w:t>d’un groupe, adapter son rythme de travail à celui du groupe.</w:t>
            </w:r>
          </w:p>
          <w:p w:rsidR="00AE2725" w:rsidRPr="00AE2725" w:rsidRDefault="00AE2725" w:rsidP="003E566A">
            <w:pPr>
              <w:rPr>
                <w:b w:val="0"/>
                <w:lang w:val="fr-FR"/>
              </w:rPr>
            </w:pPr>
            <w:r w:rsidRPr="00AE2725">
              <w:rPr>
                <w:b w:val="0"/>
                <w:lang w:val="fr-FR"/>
              </w:rPr>
              <w:t>Apprendre à utiliser les outils numériques qui peuvent conduire à des réalisations collectives.</w:t>
            </w:r>
          </w:p>
        </w:tc>
      </w:tr>
      <w:tr w:rsidR="00AE2725" w:rsidRPr="000836EA" w:rsidTr="003E566A">
        <w:trPr>
          <w:trHeight w:hRule="exact"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AE2725" w:rsidRPr="000836EA" w:rsidRDefault="00AE2725" w:rsidP="003E566A">
            <w:pPr>
              <w:rPr>
                <w:lang w:val="fr-FR"/>
              </w:rPr>
            </w:pPr>
            <w:r w:rsidRPr="000836EA">
              <w:rPr>
                <w:lang w:val="fr-FR"/>
              </w:rPr>
              <w:t>Repères de progressivité</w:t>
            </w:r>
          </w:p>
        </w:tc>
      </w:tr>
      <w:tr w:rsidR="00AE2725" w:rsidRPr="000836EA" w:rsidTr="003E566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:rsidR="00AE2725" w:rsidRPr="00AE2725" w:rsidRDefault="00AE2725" w:rsidP="003E566A">
            <w:pPr>
              <w:jc w:val="both"/>
              <w:rPr>
                <w:b w:val="0"/>
                <w:lang w:val="fr-FR"/>
              </w:rPr>
            </w:pPr>
            <w:r w:rsidRPr="00AE2725">
              <w:rPr>
                <w:b w:val="0"/>
                <w:lang w:val="fr-FR"/>
              </w:rPr>
              <w:t>Les situations de travail en groupe répondent à des objectifs pédagogiques clairement identifiés et nécessitent la mise en place d’habitudes intellectuelles. Elles sont donc régulièrement proposées tout au long du cycle 3.</w:t>
            </w:r>
          </w:p>
        </w:tc>
      </w:tr>
    </w:tbl>
    <w:p w:rsidR="000836EA" w:rsidRDefault="000836EA"/>
    <w:tbl>
      <w:tblPr>
        <w:tblStyle w:val="TableauGrille4-Accentuation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64"/>
        <w:gridCol w:w="6100"/>
      </w:tblGrid>
      <w:tr w:rsidR="000836EA" w:rsidRPr="00135021" w:rsidTr="00AE2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vAlign w:val="center"/>
          </w:tcPr>
          <w:p w:rsidR="000836EA" w:rsidRPr="00135021" w:rsidRDefault="000836EA" w:rsidP="00135021">
            <w:pPr>
              <w:pStyle w:val="Paragraphedeliste"/>
              <w:numPr>
                <w:ilvl w:val="0"/>
                <w:numId w:val="1"/>
              </w:numPr>
              <w:ind w:left="360"/>
              <w:rPr>
                <w:sz w:val="32"/>
                <w:lang w:val="fr-FR"/>
              </w:rPr>
            </w:pPr>
            <w:r w:rsidRPr="00135021">
              <w:rPr>
                <w:sz w:val="32"/>
                <w:lang w:val="fr-FR"/>
              </w:rPr>
              <w:t>COMPRENDRE UN DOCUMENT</w:t>
            </w:r>
          </w:p>
        </w:tc>
      </w:tr>
      <w:tr w:rsidR="000836EA" w:rsidRPr="000836EA" w:rsidTr="00AE2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shd w:val="clear" w:color="auto" w:fill="FFFFFF" w:themeFill="background1"/>
            <w:vAlign w:val="center"/>
          </w:tcPr>
          <w:p w:rsidR="00135021" w:rsidRDefault="000836EA" w:rsidP="000836EA">
            <w:pPr>
              <w:rPr>
                <w:lang w:val="fr-FR"/>
              </w:rPr>
            </w:pPr>
            <w:r w:rsidRPr="000836EA">
              <w:rPr>
                <w:lang w:val="fr-FR"/>
              </w:rPr>
              <w:t>Attendus de fin de cycle</w:t>
            </w:r>
            <w:r w:rsidR="00AE2725">
              <w:rPr>
                <w:lang w:val="fr-FR"/>
              </w:rPr>
              <w:t xml:space="preserve"> </w:t>
            </w:r>
            <w:r w:rsidRPr="000836EA">
              <w:rPr>
                <w:lang w:val="fr-FR"/>
              </w:rPr>
              <w:t xml:space="preserve">: </w:t>
            </w:r>
          </w:p>
          <w:p w:rsidR="00135021" w:rsidRDefault="000836EA" w:rsidP="000836EA">
            <w:pPr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 xml:space="preserve">1. Comprendre le sens général d’un document. </w:t>
            </w:r>
          </w:p>
          <w:p w:rsidR="00135021" w:rsidRDefault="000836EA" w:rsidP="000836EA">
            <w:pPr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 xml:space="preserve">2. Identifier un document et savoir pourquoi il doit être identifié. </w:t>
            </w:r>
          </w:p>
          <w:p w:rsidR="000836EA" w:rsidRPr="000836EA" w:rsidRDefault="000836EA" w:rsidP="00135021">
            <w:pPr>
              <w:rPr>
                <w:lang w:val="fr-FR"/>
              </w:rPr>
            </w:pPr>
            <w:r w:rsidRPr="00135021">
              <w:rPr>
                <w:b w:val="0"/>
                <w:lang w:val="fr-FR"/>
              </w:rPr>
              <w:t>3. Extraire des</w:t>
            </w:r>
            <w:r w:rsidR="00135021">
              <w:rPr>
                <w:b w:val="0"/>
                <w:lang w:val="fr-FR"/>
              </w:rPr>
              <w:t xml:space="preserve"> </w:t>
            </w:r>
            <w:r w:rsidRPr="00135021">
              <w:rPr>
                <w:b w:val="0"/>
                <w:lang w:val="fr-FR"/>
              </w:rPr>
              <w:t>informations pertinentes pour répondre à une question.</w:t>
            </w:r>
          </w:p>
        </w:tc>
      </w:tr>
      <w:tr w:rsidR="00135021" w:rsidRPr="00135021" w:rsidTr="00AE2725">
        <w:trPr>
          <w:trHeight w:hRule="exact"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2F2F2" w:themeFill="background1" w:themeFillShade="F2"/>
            <w:vAlign w:val="center"/>
          </w:tcPr>
          <w:p w:rsidR="00135021" w:rsidRPr="00135021" w:rsidRDefault="00135021" w:rsidP="003E566A">
            <w:pPr>
              <w:jc w:val="center"/>
              <w:rPr>
                <w:i/>
                <w:lang w:val="fr-FR"/>
              </w:rPr>
            </w:pPr>
            <w:r w:rsidRPr="00135021">
              <w:rPr>
                <w:i/>
                <w:lang w:val="fr-FR"/>
              </w:rPr>
              <w:t>Composantes de la compétence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0" w:type="dxa"/>
            <w:shd w:val="clear" w:color="auto" w:fill="F2F2F2" w:themeFill="background1" w:themeFillShade="F2"/>
            <w:vAlign w:val="center"/>
          </w:tcPr>
          <w:p w:rsidR="00135021" w:rsidRPr="00135021" w:rsidRDefault="00135021" w:rsidP="003E566A">
            <w:pPr>
              <w:jc w:val="center"/>
              <w:rPr>
                <w:i/>
                <w:lang w:val="fr-FR"/>
              </w:rPr>
            </w:pPr>
            <w:r w:rsidRPr="00135021">
              <w:rPr>
                <w:i/>
                <w:lang w:val="fr-FR"/>
              </w:rPr>
              <w:t>Démarches pour apprendre, outils et supports</w:t>
            </w:r>
          </w:p>
        </w:tc>
      </w:tr>
      <w:tr w:rsidR="00135021" w:rsidRPr="000836EA" w:rsidTr="00AE2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:rsidR="000836EA" w:rsidRPr="00135021" w:rsidRDefault="000836EA" w:rsidP="00AE2725">
            <w:pPr>
              <w:jc w:val="both"/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­ Comprendre le sens général d’un document.</w:t>
            </w:r>
          </w:p>
          <w:p w:rsidR="000836EA" w:rsidRPr="00135021" w:rsidRDefault="000836EA" w:rsidP="00AE2725">
            <w:pPr>
              <w:jc w:val="both"/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­ Identifier le document.</w:t>
            </w:r>
          </w:p>
          <w:p w:rsidR="000836EA" w:rsidRPr="00135021" w:rsidRDefault="000836EA" w:rsidP="00AE2725">
            <w:pPr>
              <w:jc w:val="both"/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­ Extraire des informations pertinentes pour répondre à une question.</w:t>
            </w:r>
          </w:p>
          <w:p w:rsidR="000836EA" w:rsidRPr="00135021" w:rsidRDefault="000836EA" w:rsidP="00AE2725">
            <w:pPr>
              <w:jc w:val="both"/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­ Savoir que le document exprime un point de vue.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00" w:type="dxa"/>
            <w:tcBorders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:rsidR="000836EA" w:rsidRPr="00135021" w:rsidRDefault="000836EA" w:rsidP="00AE2725">
            <w:pPr>
              <w:jc w:val="both"/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­ Avoir un temps de lecture suffisant et travailler de manière active le document</w:t>
            </w:r>
            <w:r w:rsidR="00135021">
              <w:rPr>
                <w:b w:val="0"/>
                <w:lang w:val="fr-FR"/>
              </w:rPr>
              <w:t xml:space="preserve"> </w:t>
            </w:r>
            <w:r w:rsidRPr="00135021">
              <w:rPr>
                <w:b w:val="0"/>
                <w:lang w:val="fr-FR"/>
              </w:rPr>
              <w:t>dans le but de se l’approprier et de le comprendre. Apprendre à identifier un</w:t>
            </w:r>
            <w:r w:rsidR="00135021">
              <w:rPr>
                <w:b w:val="0"/>
                <w:lang w:val="fr-FR"/>
              </w:rPr>
              <w:t xml:space="preserve"> </w:t>
            </w:r>
            <w:r w:rsidRPr="00135021">
              <w:rPr>
                <w:b w:val="0"/>
                <w:lang w:val="fr-FR"/>
              </w:rPr>
              <w:t>document et à connaître les raisons pour lesquelles il doit être identifié. Se confronter à différents types de questions, questions fermées pour extraire des informations précises, questions ouvertes pour travailler la compréhension générale du document. Apprendre à questionner l’implicite du document.</w:t>
            </w:r>
          </w:p>
          <w:p w:rsidR="000836EA" w:rsidRPr="00135021" w:rsidRDefault="000836EA" w:rsidP="00AE2725">
            <w:pPr>
              <w:jc w:val="both"/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­ Documents de travail :</w:t>
            </w:r>
            <w:r w:rsidR="00135021">
              <w:rPr>
                <w:b w:val="0"/>
                <w:lang w:val="fr-FR"/>
              </w:rPr>
              <w:t xml:space="preserve"> </w:t>
            </w:r>
            <w:r w:rsidRPr="00135021">
              <w:rPr>
                <w:b w:val="0"/>
                <w:lang w:val="fr-FR"/>
              </w:rPr>
              <w:t>document d’étude (textes, images, cartes, croquis, schémas, graphiques,...), dossier documentaire, ouvrages documentaires portant sur des thèmes du programme. Les documents sources font l’objet d’un traitement particulier.</w:t>
            </w:r>
          </w:p>
        </w:tc>
      </w:tr>
      <w:tr w:rsidR="000836EA" w:rsidRPr="00135021" w:rsidTr="00AE2725">
        <w:trPr>
          <w:trHeight w:hRule="exact"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0836EA" w:rsidRPr="000836EA" w:rsidRDefault="000836EA" w:rsidP="00AE2725">
            <w:pPr>
              <w:jc w:val="both"/>
              <w:rPr>
                <w:lang w:val="fr-FR"/>
              </w:rPr>
            </w:pPr>
            <w:r w:rsidRPr="000836EA">
              <w:rPr>
                <w:lang w:val="fr-FR"/>
              </w:rPr>
              <w:t>Repères de progressivité</w:t>
            </w:r>
          </w:p>
        </w:tc>
      </w:tr>
      <w:tr w:rsidR="000836EA" w:rsidRPr="000836EA" w:rsidTr="00AE27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8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:rsidR="000836EA" w:rsidRPr="00135021" w:rsidRDefault="000836EA" w:rsidP="00AE2725">
            <w:pPr>
              <w:jc w:val="both"/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 xml:space="preserve">On n’attend pas au cycle 3 que l’élève sache définir le contexte de production d’un document. L’enseignant situe lui-même le document dans son contexte </w:t>
            </w:r>
            <w:r w:rsidRPr="00135021">
              <w:rPr>
                <w:b w:val="0"/>
                <w:lang w:val="fr-FR"/>
              </w:rPr>
              <w:t>et</w:t>
            </w:r>
            <w:r w:rsidRPr="00135021">
              <w:rPr>
                <w:b w:val="0"/>
                <w:lang w:val="fr-FR"/>
              </w:rPr>
              <w:t xml:space="preserve"> attire l’attention des élèves sur l’importance de ce contexte. Le travail sur les documents textuels doit être progressif et l’étayage de l’enseignant demeure </w:t>
            </w:r>
            <w:r w:rsidRPr="00135021">
              <w:rPr>
                <w:b w:val="0"/>
                <w:lang w:val="fr-FR"/>
              </w:rPr>
              <w:t>essentiel à l’école. L’autonomie de l’élève se construit vraiment lors de l’année deèm6e. Une réflexion particulière est menée sur les temps d’apprentissage individuel et collectif et sur leur articulation.</w:t>
            </w:r>
          </w:p>
        </w:tc>
      </w:tr>
    </w:tbl>
    <w:p w:rsidR="00135021" w:rsidRDefault="00135021"/>
    <w:p w:rsidR="00135021" w:rsidRDefault="00135021"/>
    <w:tbl>
      <w:tblPr>
        <w:tblStyle w:val="TableauGrille4-Accentuation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97"/>
        <w:gridCol w:w="6667"/>
      </w:tblGrid>
      <w:tr w:rsidR="00135021" w:rsidRPr="00135021" w:rsidTr="00AE2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vAlign w:val="center"/>
          </w:tcPr>
          <w:p w:rsidR="000836EA" w:rsidRPr="00135021" w:rsidRDefault="000836EA" w:rsidP="00135021">
            <w:pPr>
              <w:pStyle w:val="Paragraphedeliste"/>
              <w:numPr>
                <w:ilvl w:val="0"/>
                <w:numId w:val="1"/>
              </w:numPr>
              <w:ind w:left="360"/>
              <w:rPr>
                <w:sz w:val="32"/>
                <w:lang w:val="fr-FR"/>
              </w:rPr>
            </w:pPr>
            <w:r w:rsidRPr="00135021">
              <w:rPr>
                <w:sz w:val="32"/>
                <w:lang w:val="fr-FR"/>
              </w:rPr>
              <w:t>S’INFORMER DANS LE MONDE DU NUMÉRIQUE</w:t>
            </w:r>
          </w:p>
        </w:tc>
      </w:tr>
      <w:tr w:rsidR="000836EA" w:rsidRPr="000836EA" w:rsidTr="00AE2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shd w:val="clear" w:color="auto" w:fill="FFFFFF" w:themeFill="background1"/>
            <w:vAlign w:val="center"/>
          </w:tcPr>
          <w:p w:rsidR="00135021" w:rsidRDefault="000836EA" w:rsidP="00135021">
            <w:pPr>
              <w:rPr>
                <w:lang w:val="fr-FR"/>
              </w:rPr>
            </w:pPr>
            <w:r w:rsidRPr="000836EA">
              <w:rPr>
                <w:lang w:val="fr-FR"/>
              </w:rPr>
              <w:t>Attendus de fin de cycle :</w:t>
            </w:r>
          </w:p>
          <w:p w:rsidR="00135021" w:rsidRPr="00135021" w:rsidRDefault="000836EA" w:rsidP="00135021">
            <w:pPr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1. Identifier la ressource numérique utilisée.</w:t>
            </w:r>
          </w:p>
          <w:p w:rsidR="000836EA" w:rsidRPr="000836EA" w:rsidRDefault="000836EA" w:rsidP="00135021">
            <w:pPr>
              <w:rPr>
                <w:lang w:val="fr-FR"/>
              </w:rPr>
            </w:pPr>
            <w:r w:rsidRPr="00135021">
              <w:rPr>
                <w:b w:val="0"/>
                <w:lang w:val="fr-FR"/>
              </w:rPr>
              <w:t>2. Trouver et sélectionner des informations dans une ressource</w:t>
            </w:r>
            <w:r w:rsidR="00135021" w:rsidRPr="00135021">
              <w:rPr>
                <w:b w:val="0"/>
                <w:lang w:val="fr-FR"/>
              </w:rPr>
              <w:t xml:space="preserve"> </w:t>
            </w:r>
            <w:r w:rsidRPr="00135021">
              <w:rPr>
                <w:b w:val="0"/>
                <w:lang w:val="fr-FR"/>
              </w:rPr>
              <w:t>numérique.</w:t>
            </w:r>
          </w:p>
        </w:tc>
      </w:tr>
      <w:tr w:rsidR="00135021" w:rsidRPr="00135021" w:rsidTr="00AE2725">
        <w:trPr>
          <w:trHeight w:hRule="exact"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2F2F2" w:themeFill="background1" w:themeFillShade="F2"/>
            <w:vAlign w:val="center"/>
          </w:tcPr>
          <w:p w:rsidR="00135021" w:rsidRPr="00135021" w:rsidRDefault="00135021" w:rsidP="003E566A">
            <w:pPr>
              <w:jc w:val="center"/>
              <w:rPr>
                <w:i/>
                <w:lang w:val="fr-FR"/>
              </w:rPr>
            </w:pPr>
            <w:r w:rsidRPr="00135021">
              <w:rPr>
                <w:i/>
                <w:lang w:val="fr-FR"/>
              </w:rPr>
              <w:t>Composantes de la compétence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7" w:type="dxa"/>
            <w:shd w:val="clear" w:color="auto" w:fill="F2F2F2" w:themeFill="background1" w:themeFillShade="F2"/>
            <w:vAlign w:val="center"/>
          </w:tcPr>
          <w:p w:rsidR="00135021" w:rsidRPr="00135021" w:rsidRDefault="00135021" w:rsidP="003E566A">
            <w:pPr>
              <w:jc w:val="center"/>
              <w:rPr>
                <w:i/>
                <w:lang w:val="fr-FR"/>
              </w:rPr>
            </w:pPr>
            <w:r w:rsidRPr="00135021">
              <w:rPr>
                <w:i/>
                <w:lang w:val="fr-FR"/>
              </w:rPr>
              <w:t>Démarches pour apprendre, outils et supports</w:t>
            </w:r>
          </w:p>
        </w:tc>
      </w:tr>
      <w:tr w:rsidR="00135021" w:rsidRPr="000836EA" w:rsidTr="00AE2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:rsidR="000836EA" w:rsidRPr="00135021" w:rsidRDefault="000836EA" w:rsidP="000836EA">
            <w:pPr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­ Connaître différents systèmes d’information, les utiliser.</w:t>
            </w:r>
          </w:p>
          <w:p w:rsidR="000836EA" w:rsidRPr="00135021" w:rsidRDefault="000836EA" w:rsidP="000836EA">
            <w:pPr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­ Trouver, sélectionner et exploiter des informations.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7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:rsidR="000836EA" w:rsidRPr="00135021" w:rsidRDefault="000836EA" w:rsidP="00AE2725">
            <w:pPr>
              <w:jc w:val="both"/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­ Découvrir la diversité des ressources numériques dans les champs disciplinaires.</w:t>
            </w:r>
          </w:p>
          <w:p w:rsidR="000836EA" w:rsidRPr="00135021" w:rsidRDefault="000836EA" w:rsidP="00AE2725">
            <w:pPr>
              <w:jc w:val="both"/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Chercher des informations dans des ressources numériques sélectionnées par</w:t>
            </w:r>
          </w:p>
          <w:p w:rsidR="000836EA" w:rsidRPr="00135021" w:rsidRDefault="000836EA" w:rsidP="00AE2725">
            <w:pPr>
              <w:jc w:val="both"/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l’enseignant, utiliser des moteurs de recherche, vérifier l’origine des informations et leur pertinence.</w:t>
            </w:r>
          </w:p>
          <w:p w:rsidR="000836EA" w:rsidRPr="00135021" w:rsidRDefault="000836EA" w:rsidP="00AE2725">
            <w:pPr>
              <w:jc w:val="both"/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­ Utiliser des dictionnaires et des encyclopédies en ligne, des sites et des réseaux sélectionnés par l’enseignant, des manuels numériques, des systèmes d’information géographique.</w:t>
            </w:r>
          </w:p>
        </w:tc>
      </w:tr>
      <w:tr w:rsidR="000836EA" w:rsidRPr="000836EA" w:rsidTr="00AE2725">
        <w:trPr>
          <w:trHeight w:hRule="exact"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0836EA" w:rsidRPr="000836EA" w:rsidRDefault="000836EA" w:rsidP="000836EA">
            <w:pPr>
              <w:rPr>
                <w:lang w:val="fr-FR"/>
              </w:rPr>
            </w:pPr>
            <w:r w:rsidRPr="000836EA">
              <w:rPr>
                <w:lang w:val="fr-FR"/>
              </w:rPr>
              <w:t>Repères de progressivité</w:t>
            </w:r>
          </w:p>
        </w:tc>
      </w:tr>
      <w:tr w:rsidR="000836EA" w:rsidRPr="000836EA" w:rsidTr="00AE27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8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:rsidR="000836EA" w:rsidRPr="00135021" w:rsidRDefault="000836EA" w:rsidP="00135021">
            <w:pPr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L’étayage de l’enseignant reste essentiel tout au long du cycle 3, l’enseignant veille à étendre progressivement le champ des ressources numériques explorées</w:t>
            </w:r>
            <w:r w:rsidR="00135021" w:rsidRPr="00135021">
              <w:rPr>
                <w:b w:val="0"/>
                <w:lang w:val="fr-FR"/>
              </w:rPr>
              <w:t xml:space="preserve"> </w:t>
            </w:r>
            <w:r w:rsidRPr="00135021">
              <w:rPr>
                <w:b w:val="0"/>
                <w:lang w:val="fr-FR"/>
              </w:rPr>
              <w:t>par l’élève.</w:t>
            </w:r>
          </w:p>
        </w:tc>
      </w:tr>
    </w:tbl>
    <w:p w:rsidR="00AE2725" w:rsidRDefault="00AE2725"/>
    <w:p w:rsidR="00AE2725" w:rsidRDefault="00AE2725">
      <w:pPr>
        <w:widowControl/>
      </w:pPr>
      <w:r>
        <w:br w:type="page"/>
      </w:r>
    </w:p>
    <w:p w:rsidR="00135021" w:rsidRDefault="00135021"/>
    <w:tbl>
      <w:tblPr>
        <w:tblStyle w:val="TableauGrille4-Accentuation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823"/>
        <w:gridCol w:w="6241"/>
      </w:tblGrid>
      <w:tr w:rsidR="00AE2725" w:rsidRPr="00135021" w:rsidTr="00AE2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vAlign w:val="center"/>
          </w:tcPr>
          <w:p w:rsidR="000836EA" w:rsidRPr="00135021" w:rsidRDefault="000836EA" w:rsidP="00135021">
            <w:pPr>
              <w:pStyle w:val="Paragraphedeliste"/>
              <w:numPr>
                <w:ilvl w:val="0"/>
                <w:numId w:val="1"/>
              </w:numPr>
              <w:ind w:left="360"/>
              <w:rPr>
                <w:sz w:val="32"/>
                <w:lang w:val="fr-FR"/>
              </w:rPr>
            </w:pPr>
            <w:r w:rsidRPr="00135021">
              <w:rPr>
                <w:sz w:val="32"/>
                <w:lang w:val="fr-FR"/>
              </w:rPr>
              <w:t>RAISONNER</w:t>
            </w:r>
          </w:p>
        </w:tc>
      </w:tr>
      <w:tr w:rsidR="000836EA" w:rsidRPr="000836EA" w:rsidTr="00AE2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shd w:val="clear" w:color="auto" w:fill="FFFFFF" w:themeFill="background1"/>
            <w:vAlign w:val="center"/>
          </w:tcPr>
          <w:p w:rsidR="000836EA" w:rsidRPr="000836EA" w:rsidRDefault="000836EA" w:rsidP="000836EA">
            <w:pPr>
              <w:rPr>
                <w:lang w:val="fr-FR"/>
              </w:rPr>
            </w:pPr>
            <w:r w:rsidRPr="000836EA">
              <w:rPr>
                <w:lang w:val="fr-FR"/>
              </w:rPr>
              <w:t>Attendus de fin de cycle</w:t>
            </w:r>
            <w:r w:rsidR="00AE2725">
              <w:rPr>
                <w:lang w:val="fr-FR"/>
              </w:rPr>
              <w:t xml:space="preserve"> </w:t>
            </w:r>
            <w:r w:rsidRPr="000836EA">
              <w:rPr>
                <w:lang w:val="fr-FR"/>
              </w:rPr>
              <w:t xml:space="preserve">: </w:t>
            </w:r>
            <w:r w:rsidRPr="00AE2725">
              <w:rPr>
                <w:b w:val="0"/>
                <w:lang w:val="fr-FR"/>
              </w:rPr>
              <w:t>Justifier une démarche et les choix effectués.</w:t>
            </w:r>
          </w:p>
        </w:tc>
      </w:tr>
      <w:tr w:rsidR="00135021" w:rsidRPr="00135021" w:rsidTr="00AE2725">
        <w:trPr>
          <w:trHeight w:hRule="exact"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2F2F2" w:themeFill="background1" w:themeFillShade="F2"/>
            <w:vAlign w:val="center"/>
          </w:tcPr>
          <w:p w:rsidR="00135021" w:rsidRPr="00135021" w:rsidRDefault="00135021" w:rsidP="003E566A">
            <w:pPr>
              <w:jc w:val="center"/>
              <w:rPr>
                <w:i/>
                <w:lang w:val="fr-FR"/>
              </w:rPr>
            </w:pPr>
            <w:r w:rsidRPr="00135021">
              <w:rPr>
                <w:i/>
                <w:lang w:val="fr-FR"/>
              </w:rPr>
              <w:t>Composantes de la compétence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1" w:type="dxa"/>
            <w:shd w:val="clear" w:color="auto" w:fill="F2F2F2" w:themeFill="background1" w:themeFillShade="F2"/>
            <w:vAlign w:val="center"/>
          </w:tcPr>
          <w:p w:rsidR="00135021" w:rsidRPr="00135021" w:rsidRDefault="00135021" w:rsidP="003E566A">
            <w:pPr>
              <w:jc w:val="center"/>
              <w:rPr>
                <w:i/>
                <w:lang w:val="fr-FR"/>
              </w:rPr>
            </w:pPr>
            <w:r w:rsidRPr="00135021">
              <w:rPr>
                <w:i/>
                <w:lang w:val="fr-FR"/>
              </w:rPr>
              <w:t>Démarches pour apprendre, outils et supports</w:t>
            </w:r>
          </w:p>
        </w:tc>
      </w:tr>
      <w:tr w:rsidR="00135021" w:rsidRPr="000836EA" w:rsidTr="00AE2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:rsidR="000836EA" w:rsidRPr="00135021" w:rsidRDefault="000836EA" w:rsidP="000836EA">
            <w:pPr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­ Poser des questions, se poser des questions.</w:t>
            </w:r>
          </w:p>
          <w:p w:rsidR="000836EA" w:rsidRPr="00135021" w:rsidRDefault="000836EA" w:rsidP="000836EA">
            <w:pPr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­ Émettre des hypothèses.</w:t>
            </w:r>
          </w:p>
          <w:p w:rsidR="000836EA" w:rsidRPr="00135021" w:rsidRDefault="000836EA" w:rsidP="000836EA">
            <w:pPr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­ Vérifier.</w:t>
            </w:r>
          </w:p>
          <w:p w:rsidR="000836EA" w:rsidRPr="00135021" w:rsidRDefault="000836EA" w:rsidP="000836EA">
            <w:pPr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­ Justifier.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41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:rsidR="000836EA" w:rsidRPr="00135021" w:rsidRDefault="000836EA" w:rsidP="00AE2725">
            <w:pPr>
              <w:jc w:val="both"/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Dans le quotidien de la classe, entrainer l’élève à mener certaines étapes du raisonnement.</w:t>
            </w:r>
          </w:p>
          <w:p w:rsidR="000836EA" w:rsidRPr="00135021" w:rsidRDefault="000836EA" w:rsidP="00AE2725">
            <w:pPr>
              <w:jc w:val="both"/>
              <w:rPr>
                <w:b w:val="0"/>
                <w:lang w:val="fr-FR"/>
              </w:rPr>
            </w:pPr>
            <w:r w:rsidRPr="00135021">
              <w:rPr>
                <w:b w:val="0"/>
                <w:lang w:val="fr-FR"/>
              </w:rPr>
              <w:t>À l’occasion d’une tâche complexe, résoudre un problème, en choisissant une démarche, en mobilisant des procédures, des connaissances et des ressources documentaires, proposer une solution, la justifier et en rendre compte.</w:t>
            </w:r>
          </w:p>
        </w:tc>
      </w:tr>
      <w:tr w:rsidR="000836EA" w:rsidRPr="000836EA" w:rsidTr="00AE2725">
        <w:trPr>
          <w:trHeight w:hRule="exact"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0836EA" w:rsidRPr="000836EA" w:rsidRDefault="000836EA" w:rsidP="000836EA">
            <w:pPr>
              <w:rPr>
                <w:lang w:val="fr-FR"/>
              </w:rPr>
            </w:pPr>
            <w:r w:rsidRPr="000836EA">
              <w:rPr>
                <w:lang w:val="fr-FR"/>
              </w:rPr>
              <w:t>Repères de progressivité</w:t>
            </w:r>
          </w:p>
        </w:tc>
      </w:tr>
      <w:tr w:rsidR="000836EA" w:rsidRPr="000836EA" w:rsidTr="00AE27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9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:rsidR="000836EA" w:rsidRPr="00AE2725" w:rsidRDefault="000836EA" w:rsidP="000836EA">
            <w:pPr>
              <w:rPr>
                <w:b w:val="0"/>
                <w:lang w:val="fr-FR"/>
              </w:rPr>
            </w:pPr>
            <w:r w:rsidRPr="00AE2725">
              <w:rPr>
                <w:b w:val="0"/>
                <w:lang w:val="fr-FR"/>
              </w:rPr>
              <w:t>L’étayage de l’enseignant reste essentiel tout au long du cycle 3, notamment dans l’étape du raisonnement relevant de la vérification des hypothèses.</w:t>
            </w:r>
          </w:p>
        </w:tc>
      </w:tr>
    </w:tbl>
    <w:p w:rsidR="00AE2725" w:rsidRDefault="00AE2725"/>
    <w:tbl>
      <w:tblPr>
        <w:tblStyle w:val="TableauGrille4-Accentuation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48"/>
        <w:gridCol w:w="5816"/>
      </w:tblGrid>
      <w:tr w:rsidR="00AE2725" w:rsidRPr="00135021" w:rsidTr="00AE2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vAlign w:val="center"/>
          </w:tcPr>
          <w:p w:rsidR="000836EA" w:rsidRPr="00135021" w:rsidRDefault="000836EA" w:rsidP="00135021">
            <w:pPr>
              <w:pStyle w:val="Paragraphedeliste"/>
              <w:numPr>
                <w:ilvl w:val="0"/>
                <w:numId w:val="1"/>
              </w:numPr>
              <w:ind w:left="360"/>
              <w:rPr>
                <w:sz w:val="32"/>
                <w:lang w:val="fr-FR"/>
              </w:rPr>
            </w:pPr>
            <w:r w:rsidRPr="00135021">
              <w:rPr>
                <w:sz w:val="32"/>
                <w:lang w:val="fr-FR"/>
              </w:rPr>
              <w:t>PRATIQUER DIFFÉRENTS LANGAGES EN HISTOIRE ET EN GÉOGRAPHIE</w:t>
            </w:r>
          </w:p>
        </w:tc>
      </w:tr>
      <w:tr w:rsidR="000836EA" w:rsidRPr="000836EA" w:rsidTr="00AE2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shd w:val="clear" w:color="auto" w:fill="FFFFFF" w:themeFill="background1"/>
            <w:vAlign w:val="center"/>
          </w:tcPr>
          <w:p w:rsidR="00AE2725" w:rsidRDefault="000836EA" w:rsidP="000836EA">
            <w:pPr>
              <w:rPr>
                <w:lang w:val="fr-FR"/>
              </w:rPr>
            </w:pPr>
            <w:r w:rsidRPr="000836EA">
              <w:rPr>
                <w:lang w:val="fr-FR"/>
              </w:rPr>
              <w:t>Attendus de fin de cycle :</w:t>
            </w:r>
          </w:p>
          <w:p w:rsidR="00AE2725" w:rsidRPr="00AE2725" w:rsidRDefault="000836EA" w:rsidP="00AE2725">
            <w:pPr>
              <w:rPr>
                <w:b w:val="0"/>
                <w:lang w:val="fr-FR"/>
              </w:rPr>
            </w:pPr>
            <w:r w:rsidRPr="00AE2725">
              <w:rPr>
                <w:b w:val="0"/>
                <w:lang w:val="fr-FR"/>
              </w:rPr>
              <w:t>1. Réaliser une production écrite pour élaborer un récit, décrire, expliquer, rendre compte de la compréhension d’un</w:t>
            </w:r>
            <w:r w:rsidR="00AE2725" w:rsidRPr="00AE2725">
              <w:rPr>
                <w:b w:val="0"/>
                <w:lang w:val="fr-FR"/>
              </w:rPr>
              <w:t xml:space="preserve"> </w:t>
            </w:r>
            <w:r w:rsidRPr="00AE2725">
              <w:rPr>
                <w:b w:val="0"/>
                <w:lang w:val="fr-FR"/>
              </w:rPr>
              <w:t>document.</w:t>
            </w:r>
          </w:p>
          <w:p w:rsidR="00AE2725" w:rsidRPr="00AE2725" w:rsidRDefault="000836EA" w:rsidP="00AE2725">
            <w:pPr>
              <w:rPr>
                <w:b w:val="0"/>
                <w:lang w:val="fr-FR"/>
              </w:rPr>
            </w:pPr>
            <w:r w:rsidRPr="00AE2725">
              <w:rPr>
                <w:b w:val="0"/>
                <w:lang w:val="fr-FR"/>
              </w:rPr>
              <w:t>2. Réaliser une production orale.</w:t>
            </w:r>
          </w:p>
          <w:p w:rsidR="000836EA" w:rsidRPr="000836EA" w:rsidRDefault="000836EA" w:rsidP="00AE2725">
            <w:pPr>
              <w:rPr>
                <w:lang w:val="fr-FR"/>
              </w:rPr>
            </w:pPr>
            <w:r w:rsidRPr="00AE2725">
              <w:rPr>
                <w:b w:val="0"/>
                <w:lang w:val="fr-FR"/>
              </w:rPr>
              <w:t>3. Réaliser ou compléter des productions graphiques.</w:t>
            </w:r>
          </w:p>
        </w:tc>
      </w:tr>
      <w:tr w:rsidR="00135021" w:rsidRPr="00135021" w:rsidTr="00AE2725">
        <w:trPr>
          <w:trHeight w:hRule="exact"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F2F2F2" w:themeFill="background1" w:themeFillShade="F2"/>
            <w:vAlign w:val="center"/>
          </w:tcPr>
          <w:p w:rsidR="00135021" w:rsidRPr="00135021" w:rsidRDefault="00135021" w:rsidP="003E566A">
            <w:pPr>
              <w:jc w:val="center"/>
              <w:rPr>
                <w:i/>
                <w:lang w:val="fr-FR"/>
              </w:rPr>
            </w:pPr>
            <w:r w:rsidRPr="00135021">
              <w:rPr>
                <w:i/>
                <w:lang w:val="fr-FR"/>
              </w:rPr>
              <w:t>Composantes de la compétence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6" w:type="dxa"/>
            <w:shd w:val="clear" w:color="auto" w:fill="F2F2F2" w:themeFill="background1" w:themeFillShade="F2"/>
            <w:vAlign w:val="center"/>
          </w:tcPr>
          <w:p w:rsidR="00135021" w:rsidRPr="00135021" w:rsidRDefault="00135021" w:rsidP="003E566A">
            <w:pPr>
              <w:jc w:val="center"/>
              <w:rPr>
                <w:i/>
                <w:lang w:val="fr-FR"/>
              </w:rPr>
            </w:pPr>
            <w:r w:rsidRPr="00135021">
              <w:rPr>
                <w:i/>
                <w:lang w:val="fr-FR"/>
              </w:rPr>
              <w:t>Démarches pour apprendre, outils et supports</w:t>
            </w:r>
          </w:p>
        </w:tc>
      </w:tr>
      <w:tr w:rsidR="00135021" w:rsidRPr="000836EA" w:rsidTr="00AE2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:rsidR="000836EA" w:rsidRPr="00AE2725" w:rsidRDefault="000836EA" w:rsidP="000836EA">
            <w:pPr>
              <w:rPr>
                <w:b w:val="0"/>
                <w:lang w:val="fr-FR"/>
              </w:rPr>
            </w:pPr>
            <w:r w:rsidRPr="00AE2725">
              <w:rPr>
                <w:b w:val="0"/>
                <w:lang w:val="fr-FR"/>
              </w:rPr>
              <w:t>­ Écrire pour construire sa pensée et son savoir et écrire</w:t>
            </w:r>
          </w:p>
          <w:p w:rsidR="000836EA" w:rsidRPr="00AE2725" w:rsidRDefault="000836EA" w:rsidP="000836EA">
            <w:pPr>
              <w:rPr>
                <w:b w:val="0"/>
                <w:lang w:val="fr-FR"/>
              </w:rPr>
            </w:pPr>
            <w:r w:rsidRPr="00AE2725">
              <w:rPr>
                <w:b w:val="0"/>
                <w:lang w:val="fr-FR"/>
              </w:rPr>
              <w:t>pour communiquer.</w:t>
            </w:r>
          </w:p>
          <w:p w:rsidR="000836EA" w:rsidRPr="00AE2725" w:rsidRDefault="000836EA" w:rsidP="000836EA">
            <w:pPr>
              <w:rPr>
                <w:b w:val="0"/>
                <w:lang w:val="fr-FR"/>
              </w:rPr>
            </w:pPr>
            <w:r w:rsidRPr="00AE2725">
              <w:rPr>
                <w:b w:val="0"/>
                <w:lang w:val="fr-FR"/>
              </w:rPr>
              <w:t>­ S’exprimer à l’oral pour penser, communiquer et</w:t>
            </w:r>
          </w:p>
          <w:p w:rsidR="000836EA" w:rsidRPr="00AE2725" w:rsidRDefault="000836EA" w:rsidP="000836EA">
            <w:pPr>
              <w:rPr>
                <w:b w:val="0"/>
                <w:lang w:val="fr-FR"/>
              </w:rPr>
            </w:pPr>
            <w:r w:rsidRPr="00AE2725">
              <w:rPr>
                <w:b w:val="0"/>
                <w:lang w:val="fr-FR"/>
              </w:rPr>
              <w:t>échanger.</w:t>
            </w:r>
          </w:p>
          <w:p w:rsidR="000836EA" w:rsidRPr="00AE2725" w:rsidRDefault="000836EA" w:rsidP="000836EA">
            <w:pPr>
              <w:rPr>
                <w:b w:val="0"/>
                <w:lang w:val="fr-FR"/>
              </w:rPr>
            </w:pPr>
            <w:r w:rsidRPr="00AE2725">
              <w:rPr>
                <w:b w:val="0"/>
                <w:lang w:val="fr-FR"/>
              </w:rPr>
              <w:t>­ Réaliser ou compléter des productions graphiques.</w:t>
            </w:r>
          </w:p>
          <w:p w:rsidR="000836EA" w:rsidRPr="00AE2725" w:rsidRDefault="000836EA" w:rsidP="000836EA">
            <w:pPr>
              <w:rPr>
                <w:b w:val="0"/>
                <w:lang w:val="fr-FR"/>
              </w:rPr>
            </w:pPr>
            <w:r w:rsidRPr="00AE2725">
              <w:rPr>
                <w:b w:val="0"/>
                <w:lang w:val="fr-FR"/>
              </w:rPr>
              <w:t>­ S’approprier et utiliser un lexique spécifique en contexte.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6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:rsidR="000836EA" w:rsidRPr="00AE2725" w:rsidRDefault="000836EA" w:rsidP="000836EA">
            <w:pPr>
              <w:rPr>
                <w:b w:val="0"/>
                <w:lang w:val="fr-FR"/>
              </w:rPr>
            </w:pPr>
            <w:r w:rsidRPr="00AE2725">
              <w:rPr>
                <w:b w:val="0"/>
                <w:lang w:val="fr-FR"/>
              </w:rPr>
              <w:t>­ En histoire et en géographie, produire à l’écrit et à l’oral pour élaborer un récit,</w:t>
            </w:r>
            <w:r w:rsidR="00AE2725">
              <w:rPr>
                <w:b w:val="0"/>
                <w:lang w:val="fr-FR"/>
              </w:rPr>
              <w:t xml:space="preserve"> </w:t>
            </w:r>
            <w:r w:rsidRPr="00AE2725">
              <w:rPr>
                <w:b w:val="0"/>
                <w:lang w:val="fr-FR"/>
              </w:rPr>
              <w:t>décrire, expliquer, exprimer ce qui a été retenu et compris.</w:t>
            </w:r>
          </w:p>
          <w:p w:rsidR="000836EA" w:rsidRPr="00AE2725" w:rsidRDefault="000836EA" w:rsidP="000836EA">
            <w:pPr>
              <w:rPr>
                <w:b w:val="0"/>
                <w:lang w:val="fr-FR"/>
              </w:rPr>
            </w:pPr>
            <w:r w:rsidRPr="00AE2725">
              <w:rPr>
                <w:b w:val="0"/>
                <w:lang w:val="fr-FR"/>
              </w:rPr>
              <w:t>­ Inscrire les situations d’écriture dans le quotidien de la classe, en distinguant</w:t>
            </w:r>
            <w:r w:rsidR="00AE2725">
              <w:rPr>
                <w:b w:val="0"/>
                <w:lang w:val="fr-FR"/>
              </w:rPr>
              <w:t xml:space="preserve"> </w:t>
            </w:r>
            <w:r w:rsidRPr="00AE2725">
              <w:rPr>
                <w:b w:val="0"/>
                <w:lang w:val="fr-FR"/>
              </w:rPr>
              <w:t>écrits de travail, écrits intermédiaires, productions finales de l’élève et écrits de référence. Construire les compétences de chaque élève par des pratiques d’écriture individuelle, collaborative, collective.</w:t>
            </w:r>
          </w:p>
          <w:p w:rsidR="000836EA" w:rsidRPr="00AE2725" w:rsidRDefault="000836EA" w:rsidP="000836EA">
            <w:pPr>
              <w:rPr>
                <w:b w:val="0"/>
                <w:lang w:val="fr-FR"/>
              </w:rPr>
            </w:pPr>
            <w:r w:rsidRPr="00AE2725">
              <w:rPr>
                <w:b w:val="0"/>
                <w:lang w:val="fr-FR"/>
              </w:rPr>
              <w:t>­ Proposer des situations d’oral diversifiées ne se réduisant pas à un oral</w:t>
            </w:r>
            <w:r w:rsidR="00AE2725">
              <w:rPr>
                <w:b w:val="0"/>
                <w:lang w:val="fr-FR"/>
              </w:rPr>
              <w:t xml:space="preserve"> </w:t>
            </w:r>
            <w:r w:rsidRPr="00AE2725">
              <w:rPr>
                <w:b w:val="0"/>
                <w:lang w:val="fr-FR"/>
              </w:rPr>
              <w:t>spontané : participation à l’examen collectif d’un document, d’une situation historique ou géographique, justification d’un point de vue, prise de parole en continu.</w:t>
            </w:r>
          </w:p>
          <w:p w:rsidR="000836EA" w:rsidRPr="00AE2725" w:rsidRDefault="000836EA" w:rsidP="000836EA">
            <w:pPr>
              <w:rPr>
                <w:b w:val="0"/>
                <w:lang w:val="fr-FR"/>
              </w:rPr>
            </w:pPr>
            <w:r w:rsidRPr="00AE2725">
              <w:rPr>
                <w:b w:val="0"/>
                <w:lang w:val="fr-FR"/>
              </w:rPr>
              <w:t>­ Travailler sur la polysémie du vocabulaire et apprendre à utiliser les mots dans</w:t>
            </w:r>
            <w:r w:rsidR="00AE2725">
              <w:rPr>
                <w:b w:val="0"/>
                <w:lang w:val="fr-FR"/>
              </w:rPr>
              <w:t xml:space="preserve"> </w:t>
            </w:r>
            <w:r w:rsidRPr="00AE2725">
              <w:rPr>
                <w:b w:val="0"/>
                <w:lang w:val="fr-FR"/>
              </w:rPr>
              <w:t>des contextes particuliers.</w:t>
            </w:r>
          </w:p>
          <w:p w:rsidR="000836EA" w:rsidRPr="00AE2725" w:rsidRDefault="000836EA" w:rsidP="000836EA">
            <w:pPr>
              <w:rPr>
                <w:b w:val="0"/>
                <w:lang w:val="fr-FR"/>
              </w:rPr>
            </w:pPr>
            <w:r w:rsidRPr="00AE2725">
              <w:rPr>
                <w:b w:val="0"/>
                <w:lang w:val="fr-FR"/>
              </w:rPr>
              <w:t>­ Utiliser brouillon, supports et outils numériques, schémas, cartes heuristiques…</w:t>
            </w:r>
          </w:p>
        </w:tc>
      </w:tr>
      <w:tr w:rsidR="000836EA" w:rsidRPr="000836EA" w:rsidTr="00AE2725">
        <w:trPr>
          <w:trHeight w:hRule="exact"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0836EA" w:rsidRPr="000836EA" w:rsidRDefault="000836EA" w:rsidP="000836EA">
            <w:pPr>
              <w:rPr>
                <w:lang w:val="fr-FR"/>
              </w:rPr>
            </w:pPr>
            <w:r w:rsidRPr="000836EA">
              <w:rPr>
                <w:lang w:val="fr-FR"/>
              </w:rPr>
              <w:t>Repères de progressivité</w:t>
            </w:r>
          </w:p>
        </w:tc>
      </w:tr>
      <w:tr w:rsidR="000836EA" w:rsidRPr="000836EA" w:rsidTr="00AE27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:rsidR="000836EA" w:rsidRPr="00AE2725" w:rsidRDefault="000836EA" w:rsidP="000836EA">
            <w:pPr>
              <w:rPr>
                <w:b w:val="0"/>
                <w:lang w:val="fr-FR"/>
              </w:rPr>
            </w:pPr>
            <w:r w:rsidRPr="00AE2725">
              <w:rPr>
                <w:b w:val="0"/>
                <w:lang w:val="fr-FR"/>
              </w:rPr>
              <w:t>Guidage et étayage diminuent au cours du cycle 3 et en fonction des compétences langagières de l’élève.</w:t>
            </w:r>
          </w:p>
        </w:tc>
      </w:tr>
    </w:tbl>
    <w:p w:rsidR="00AE2725" w:rsidRDefault="00AE2725"/>
    <w:p w:rsidR="00AE2725" w:rsidRDefault="00AE2725">
      <w:pPr>
        <w:widowControl/>
      </w:pPr>
      <w:bookmarkStart w:id="0" w:name="_GoBack"/>
      <w:bookmarkEnd w:id="0"/>
    </w:p>
    <w:sectPr w:rsidR="00AE2725" w:rsidSect="00AE27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6EA" w:rsidRDefault="000836EA" w:rsidP="000836EA">
      <w:r>
        <w:separator/>
      </w:r>
    </w:p>
  </w:endnote>
  <w:endnote w:type="continuationSeparator" w:id="0">
    <w:p w:rsidR="000836EA" w:rsidRDefault="000836EA" w:rsidP="0008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6EA" w:rsidRDefault="000836EA" w:rsidP="000836EA">
      <w:r>
        <w:separator/>
      </w:r>
    </w:p>
  </w:footnote>
  <w:footnote w:type="continuationSeparator" w:id="0">
    <w:p w:rsidR="000836EA" w:rsidRDefault="000836EA" w:rsidP="00083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920E3"/>
    <w:multiLevelType w:val="hybridMultilevel"/>
    <w:tmpl w:val="BE204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EA"/>
    <w:rsid w:val="000836EA"/>
    <w:rsid w:val="00135021"/>
    <w:rsid w:val="00AE2725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6AF94C0-5A9B-4405-98E7-2F6CF627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36EA"/>
    <w:pPr>
      <w:widowControl w:val="0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0836EA"/>
    <w:pPr>
      <w:spacing w:before="8"/>
      <w:ind w:left="492"/>
      <w:outlineLvl w:val="0"/>
    </w:pPr>
    <w:rPr>
      <w:rFonts w:ascii="Segoe UI" w:eastAsia="Segoe UI" w:hAnsi="Segoe U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0836EA"/>
    <w:rPr>
      <w:rFonts w:ascii="Segoe UI" w:eastAsia="Segoe UI" w:hAnsi="Segoe UI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0836EA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836EA"/>
    <w:pPr>
      <w:ind w:left="492"/>
    </w:pPr>
    <w:rPr>
      <w:rFonts w:ascii="Calibri" w:eastAsia="Calibri" w:hAnsi="Calibri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0836EA"/>
    <w:rPr>
      <w:rFonts w:ascii="Calibri" w:eastAsia="Calibri" w:hAnsi="Calibri"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0836EA"/>
  </w:style>
  <w:style w:type="paragraph" w:customStyle="1" w:styleId="TableParagraph">
    <w:name w:val="Table Paragraph"/>
    <w:basedOn w:val="Normal"/>
    <w:uiPriority w:val="1"/>
    <w:qFormat/>
    <w:rsid w:val="000836EA"/>
  </w:style>
  <w:style w:type="paragraph" w:styleId="En-tte">
    <w:name w:val="header"/>
    <w:basedOn w:val="Normal"/>
    <w:link w:val="En-tteCar"/>
    <w:uiPriority w:val="99"/>
    <w:unhideWhenUsed/>
    <w:rsid w:val="000836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36EA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836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36EA"/>
    <w:rPr>
      <w:lang w:val="en-US"/>
    </w:rPr>
  </w:style>
  <w:style w:type="table" w:styleId="TableauGrille4-Accentuation1">
    <w:name w:val="Grid Table 4 Accent 1"/>
    <w:basedOn w:val="TableauNormal"/>
    <w:uiPriority w:val="49"/>
    <w:rsid w:val="000836E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3-Accentuation1">
    <w:name w:val="List Table 3 Accent 1"/>
    <w:basedOn w:val="TableauNormal"/>
    <w:uiPriority w:val="48"/>
    <w:rsid w:val="00135021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10767-0A6A-4E44-A040-E162D596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1260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Marques</dc:creator>
  <cp:keywords/>
  <dc:description/>
  <cp:lastModifiedBy>Patrick Marques</cp:lastModifiedBy>
  <cp:revision>1</cp:revision>
  <dcterms:created xsi:type="dcterms:W3CDTF">2016-02-09T10:24:00Z</dcterms:created>
  <dcterms:modified xsi:type="dcterms:W3CDTF">2016-02-09T10:52:00Z</dcterms:modified>
</cp:coreProperties>
</file>