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5"/>
      </w:tblGrid>
      <w:tr w:rsidR="00E660B1" w:rsidTr="00CC38B4">
        <w:trPr>
          <w:cantSplit/>
          <w:trHeight w:val="216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B1" w:rsidRDefault="00425FF8" w:rsidP="00826ED1">
            <w:pPr>
              <w:spacing w:before="120"/>
              <w:ind w:left="282" w:right="213"/>
              <w:jc w:val="center"/>
              <w:rPr>
                <w:rFonts w:ascii="Arial" w:hAnsi="Arial" w:cs="Arial"/>
                <w:bCs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</w:rPr>
              <w:t>ANNEE</w:t>
            </w:r>
            <w:r w:rsidR="00054FD8" w:rsidRPr="00054FD8">
              <w:rPr>
                <w:rFonts w:ascii="Arial" w:hAnsi="Arial" w:cs="Arial"/>
                <w:b/>
                <w:bCs/>
                <w:sz w:val="22"/>
              </w:rPr>
              <w:t xml:space="preserve"> 201</w:t>
            </w:r>
            <w:r w:rsidR="00826ED1">
              <w:rPr>
                <w:rFonts w:ascii="Arial" w:hAnsi="Arial" w:cs="Arial"/>
                <w:b/>
                <w:bCs/>
                <w:sz w:val="22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</w:rPr>
              <w:t>/201</w:t>
            </w:r>
            <w:r w:rsidR="00826ED1">
              <w:rPr>
                <w:rFonts w:ascii="Arial" w:hAnsi="Arial" w:cs="Arial"/>
                <w:b/>
                <w:bCs/>
                <w:sz w:val="22"/>
              </w:rPr>
              <w:t>9</w:t>
            </w:r>
            <w:r w:rsidR="00054FD8">
              <w:rPr>
                <w:rFonts w:ascii="Arial" w:hAnsi="Arial" w:cs="Arial"/>
                <w:bCs/>
                <w:sz w:val="22"/>
              </w:rPr>
              <w:t xml:space="preserve"> – DOCUMENTS RELATIFS A L’AFFECTATION DES </w:t>
            </w:r>
            <w:r w:rsidR="00BA669D">
              <w:rPr>
                <w:rFonts w:ascii="Arial" w:hAnsi="Arial" w:cs="Arial"/>
                <w:bCs/>
                <w:sz w:val="22"/>
              </w:rPr>
              <w:t xml:space="preserve">ACCOMPAGNANTS D’ELEVES EN SITUATION DE HANDICAP </w:t>
            </w:r>
            <w:r w:rsidR="00B84816">
              <w:rPr>
                <w:rFonts w:ascii="Arial" w:hAnsi="Arial" w:cs="Arial"/>
                <w:bCs/>
                <w:sz w:val="22"/>
              </w:rPr>
              <w:t>PEC</w:t>
            </w:r>
            <w:r w:rsidR="0042397B">
              <w:rPr>
                <w:rFonts w:ascii="Arial" w:hAnsi="Arial" w:cs="Arial"/>
                <w:bCs/>
                <w:sz w:val="22"/>
              </w:rPr>
              <w:t xml:space="preserve"> ET AVS / AS</w:t>
            </w:r>
            <w:r w:rsidR="00BA669D">
              <w:rPr>
                <w:rFonts w:ascii="Arial" w:hAnsi="Arial" w:cs="Arial"/>
                <w:bCs/>
                <w:sz w:val="22"/>
              </w:rPr>
              <w:t xml:space="preserve"> </w:t>
            </w:r>
            <w:r w:rsidR="00054FD8">
              <w:rPr>
                <w:rFonts w:ascii="Arial" w:hAnsi="Arial" w:cs="Arial"/>
                <w:bCs/>
                <w:sz w:val="22"/>
              </w:rPr>
              <w:t xml:space="preserve">EN ECOLES PUBLIQUES – </w:t>
            </w:r>
            <w:r w:rsidR="00054FD8" w:rsidRPr="00AD637E">
              <w:rPr>
                <w:rFonts w:ascii="Arial" w:hAnsi="Arial" w:cs="Arial"/>
                <w:b/>
                <w:bCs/>
                <w:sz w:val="22"/>
              </w:rPr>
              <w:t>1° degré</w:t>
            </w:r>
            <w:r w:rsidR="00054FD8">
              <w:rPr>
                <w:rFonts w:ascii="Arial" w:hAnsi="Arial" w:cs="Arial"/>
                <w:bCs/>
                <w:sz w:val="22"/>
              </w:rPr>
              <w:t>.</w:t>
            </w:r>
          </w:p>
          <w:p w:rsidR="00E9360D" w:rsidRDefault="00E9360D" w:rsidP="00826ED1">
            <w:pPr>
              <w:spacing w:before="120"/>
              <w:ind w:left="282" w:right="213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076930" w:rsidTr="00CC38B4">
        <w:trPr>
          <w:cantSplit/>
          <w:trHeight w:val="216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30" w:rsidRDefault="00076930" w:rsidP="00826ED1">
            <w:pPr>
              <w:spacing w:before="120"/>
              <w:ind w:left="282" w:right="213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Objet : affectation </w:t>
            </w:r>
            <w:r w:rsidR="00BA669D">
              <w:rPr>
                <w:rFonts w:ascii="Arial" w:hAnsi="Arial" w:cs="Arial"/>
                <w:bCs/>
                <w:sz w:val="22"/>
              </w:rPr>
              <w:t>année scolaire</w:t>
            </w:r>
            <w:r>
              <w:rPr>
                <w:rFonts w:ascii="Arial" w:hAnsi="Arial" w:cs="Arial"/>
                <w:bCs/>
                <w:sz w:val="22"/>
              </w:rPr>
              <w:t xml:space="preserve"> 201</w:t>
            </w:r>
            <w:r w:rsidR="005D7C4D">
              <w:rPr>
                <w:rFonts w:ascii="Arial" w:hAnsi="Arial" w:cs="Arial"/>
                <w:bCs/>
                <w:sz w:val="22"/>
              </w:rPr>
              <w:t>9-2020</w:t>
            </w:r>
          </w:p>
          <w:p w:rsidR="00E9360D" w:rsidRDefault="00E9360D" w:rsidP="00826ED1">
            <w:pPr>
              <w:spacing w:before="120"/>
              <w:ind w:left="282" w:right="213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076930" w:rsidTr="00CC38B4">
        <w:trPr>
          <w:trHeight w:val="1824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30" w:rsidRDefault="00076930" w:rsidP="00F42023">
            <w:pPr>
              <w:ind w:left="282" w:right="213"/>
              <w:jc w:val="both"/>
              <w:rPr>
                <w:rFonts w:ascii="Arial" w:hAnsi="Arial" w:cs="Arial"/>
                <w:sz w:val="22"/>
              </w:rPr>
            </w:pPr>
          </w:p>
          <w:p w:rsidR="00093A60" w:rsidRDefault="00093A60" w:rsidP="00F42023">
            <w:pPr>
              <w:ind w:left="282" w:right="213"/>
              <w:jc w:val="both"/>
              <w:rPr>
                <w:rFonts w:ascii="Arial" w:hAnsi="Arial" w:cs="Arial"/>
                <w:sz w:val="22"/>
              </w:rPr>
            </w:pPr>
          </w:p>
          <w:p w:rsidR="006B6005" w:rsidRDefault="006B6005" w:rsidP="00F42023">
            <w:pPr>
              <w:ind w:left="882" w:right="213"/>
              <w:jc w:val="both"/>
              <w:rPr>
                <w:rFonts w:ascii="Arial" w:hAnsi="Arial" w:cs="Arial"/>
                <w:sz w:val="22"/>
              </w:rPr>
            </w:pPr>
          </w:p>
          <w:p w:rsidR="00076930" w:rsidRDefault="00B67AF1" w:rsidP="00E52923">
            <w:pPr>
              <w:ind w:left="882" w:right="21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l’attention des directrices ou directeurs : vous </w:t>
            </w:r>
            <w:r w:rsidR="00576959">
              <w:rPr>
                <w:rFonts w:ascii="Arial" w:hAnsi="Arial" w:cs="Arial"/>
                <w:sz w:val="22"/>
              </w:rPr>
              <w:t xml:space="preserve">avez </w:t>
            </w:r>
            <w:r w:rsidR="00826ED1">
              <w:rPr>
                <w:rFonts w:ascii="Arial" w:hAnsi="Arial" w:cs="Arial"/>
                <w:sz w:val="22"/>
              </w:rPr>
              <w:t xml:space="preserve">été informé par mail </w:t>
            </w:r>
            <w:r w:rsidR="00E5292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de l</w:t>
            </w:r>
            <w:r w:rsidR="00076930">
              <w:rPr>
                <w:rFonts w:ascii="Arial" w:hAnsi="Arial" w:cs="Arial"/>
                <w:sz w:val="22"/>
              </w:rPr>
              <w:t>’affectation d</w:t>
            </w:r>
            <w:r w:rsidR="00576959">
              <w:rPr>
                <w:rFonts w:ascii="Arial" w:hAnsi="Arial" w:cs="Arial"/>
                <w:sz w:val="22"/>
              </w:rPr>
              <w:t xml:space="preserve">’un(e) ou de plusieurs </w:t>
            </w:r>
            <w:r w:rsidR="005D7C4D">
              <w:rPr>
                <w:rFonts w:ascii="Arial" w:hAnsi="Arial" w:cs="Arial"/>
                <w:sz w:val="22"/>
              </w:rPr>
              <w:t xml:space="preserve">AESH AVS/AS et/ou </w:t>
            </w:r>
            <w:r w:rsidR="00576959">
              <w:rPr>
                <w:rFonts w:ascii="Arial" w:hAnsi="Arial" w:cs="Arial"/>
                <w:sz w:val="22"/>
              </w:rPr>
              <w:t xml:space="preserve">AESH </w:t>
            </w:r>
            <w:r w:rsidR="00FB629B">
              <w:rPr>
                <w:rFonts w:ascii="Arial" w:hAnsi="Arial" w:cs="Arial"/>
                <w:sz w:val="22"/>
              </w:rPr>
              <w:t>PEC</w:t>
            </w:r>
            <w:r w:rsidR="00604FC3">
              <w:rPr>
                <w:rFonts w:ascii="Arial" w:hAnsi="Arial" w:cs="Arial"/>
                <w:sz w:val="22"/>
              </w:rPr>
              <w:t xml:space="preserve"> </w:t>
            </w:r>
            <w:r w:rsidR="00076930">
              <w:rPr>
                <w:rFonts w:ascii="Arial" w:hAnsi="Arial" w:cs="Arial"/>
                <w:sz w:val="22"/>
              </w:rPr>
              <w:t>qui interviendra (ont) sur votre école</w:t>
            </w:r>
            <w:r w:rsidR="00E52923">
              <w:rPr>
                <w:rFonts w:ascii="Arial" w:hAnsi="Arial" w:cs="Arial"/>
                <w:sz w:val="22"/>
              </w:rPr>
              <w:t xml:space="preserve"> auprès d’un élève en situation de handicap</w:t>
            </w:r>
            <w:r w:rsidR="00076930">
              <w:rPr>
                <w:rFonts w:ascii="Arial" w:hAnsi="Arial" w:cs="Arial"/>
                <w:sz w:val="22"/>
              </w:rPr>
              <w:t xml:space="preserve">. </w:t>
            </w:r>
          </w:p>
          <w:p w:rsidR="00E9360D" w:rsidRDefault="00E9360D" w:rsidP="00E52923">
            <w:pPr>
              <w:ind w:left="882" w:right="213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093A60" w:rsidRDefault="00093A60" w:rsidP="00E52923">
            <w:pPr>
              <w:ind w:left="882" w:right="213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076930" w:rsidRDefault="00076930" w:rsidP="00F42023">
            <w:pPr>
              <w:ind w:right="213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076930" w:rsidRPr="006B6005" w:rsidRDefault="00076930" w:rsidP="00F42023">
            <w:pPr>
              <w:numPr>
                <w:ilvl w:val="0"/>
                <w:numId w:val="1"/>
              </w:numPr>
              <w:ind w:right="213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Les</w:t>
            </w:r>
            <w:r w:rsidR="00722E4E">
              <w:rPr>
                <w:rFonts w:ascii="Arial" w:hAnsi="Arial" w:cs="Arial"/>
                <w:sz w:val="22"/>
              </w:rPr>
              <w:t xml:space="preserve"> 2</w:t>
            </w:r>
            <w:r>
              <w:rPr>
                <w:rFonts w:ascii="Arial" w:hAnsi="Arial" w:cs="Arial"/>
                <w:sz w:val="22"/>
              </w:rPr>
              <w:t xml:space="preserve"> documents </w:t>
            </w:r>
            <w:r w:rsidR="009606F4">
              <w:rPr>
                <w:rFonts w:ascii="Arial" w:hAnsi="Arial" w:cs="Arial"/>
                <w:sz w:val="22"/>
              </w:rPr>
              <w:t>ci-dessous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56BFA">
              <w:rPr>
                <w:rFonts w:ascii="Arial" w:hAnsi="Arial" w:cs="Arial"/>
                <w:sz w:val="22"/>
              </w:rPr>
              <w:t>relatifs à l’affectation des accompagnants</w:t>
            </w:r>
            <w:r w:rsidR="009606F4">
              <w:rPr>
                <w:rFonts w:ascii="Arial" w:hAnsi="Arial" w:cs="Arial"/>
                <w:sz w:val="22"/>
              </w:rPr>
              <w:t xml:space="preserve"> </w:t>
            </w:r>
            <w:r w:rsidR="002E10F9">
              <w:rPr>
                <w:rFonts w:ascii="Arial" w:hAnsi="Arial" w:cs="Arial"/>
                <w:sz w:val="22"/>
              </w:rPr>
              <w:t>sont</w:t>
            </w:r>
            <w:r w:rsidR="009606F4">
              <w:rPr>
                <w:rFonts w:ascii="Arial" w:hAnsi="Arial" w:cs="Arial"/>
                <w:sz w:val="22"/>
              </w:rPr>
              <w:t xml:space="preserve"> à retourner</w:t>
            </w:r>
            <w:r w:rsidR="00E52923">
              <w:rPr>
                <w:rFonts w:ascii="Arial" w:hAnsi="Arial" w:cs="Arial"/>
                <w:sz w:val="22"/>
              </w:rPr>
              <w:t xml:space="preserve"> </w:t>
            </w:r>
            <w:r w:rsidR="00E52923" w:rsidRPr="00D01A9A">
              <w:rPr>
                <w:rFonts w:ascii="Arial" w:hAnsi="Arial" w:cs="Arial"/>
                <w:b/>
                <w:sz w:val="22"/>
              </w:rPr>
              <w:t>via le bureau numérique</w:t>
            </w:r>
            <w:r w:rsidR="009606F4">
              <w:rPr>
                <w:rFonts w:ascii="Arial" w:hAnsi="Arial" w:cs="Arial"/>
                <w:sz w:val="22"/>
              </w:rPr>
              <w:t xml:space="preserve"> après la prise de poste de </w:t>
            </w:r>
            <w:r w:rsidR="00E52923">
              <w:rPr>
                <w:rFonts w:ascii="Arial" w:hAnsi="Arial" w:cs="Arial"/>
                <w:sz w:val="22"/>
              </w:rPr>
              <w:t>l’accompagnant</w:t>
            </w:r>
            <w:r w:rsidR="009606F4">
              <w:rPr>
                <w:rFonts w:ascii="Arial" w:hAnsi="Arial" w:cs="Arial"/>
                <w:sz w:val="22"/>
              </w:rPr>
              <w:t xml:space="preserve"> </w:t>
            </w:r>
            <w:r w:rsidR="006B6005">
              <w:rPr>
                <w:rFonts w:ascii="Arial" w:hAnsi="Arial" w:cs="Arial"/>
                <w:sz w:val="22"/>
              </w:rPr>
              <w:t>:</w:t>
            </w:r>
          </w:p>
          <w:p w:rsidR="006B6005" w:rsidRPr="00076930" w:rsidRDefault="006B6005" w:rsidP="00F42023">
            <w:pPr>
              <w:ind w:left="882" w:right="213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076930" w:rsidRDefault="00076930" w:rsidP="00F42023">
            <w:pPr>
              <w:pStyle w:val="Paragraphedeliste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076930" w:rsidRDefault="00826ED1" w:rsidP="00F42023">
            <w:pPr>
              <w:ind w:left="2231" w:right="213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1 -</w:t>
            </w:r>
            <w:r w:rsidR="00076930">
              <w:rPr>
                <w:rFonts w:ascii="Arial" w:hAnsi="Arial" w:cs="Arial"/>
                <w:bCs/>
                <w:sz w:val="22"/>
              </w:rPr>
              <w:t xml:space="preserve"> Le formulaire de prise de </w:t>
            </w:r>
            <w:r w:rsidR="002227B8">
              <w:rPr>
                <w:rFonts w:ascii="Arial" w:hAnsi="Arial" w:cs="Arial"/>
                <w:bCs/>
                <w:sz w:val="22"/>
              </w:rPr>
              <w:t>fonctions</w:t>
            </w:r>
            <w:r w:rsidR="008A5927">
              <w:rPr>
                <w:rFonts w:ascii="Arial" w:hAnsi="Arial" w:cs="Arial"/>
                <w:bCs/>
                <w:sz w:val="22"/>
              </w:rPr>
              <w:t xml:space="preserve"> </w:t>
            </w:r>
            <w:r w:rsidR="00076930">
              <w:rPr>
                <w:rFonts w:ascii="Arial" w:hAnsi="Arial" w:cs="Arial"/>
                <w:bCs/>
                <w:sz w:val="22"/>
              </w:rPr>
              <w:t>;</w:t>
            </w:r>
          </w:p>
          <w:p w:rsidR="00076930" w:rsidRDefault="00076930" w:rsidP="00F42023">
            <w:pPr>
              <w:pStyle w:val="Paragraphedeliste"/>
              <w:ind w:left="2231"/>
              <w:jc w:val="both"/>
              <w:rPr>
                <w:rFonts w:ascii="Arial" w:hAnsi="Arial" w:cs="Arial"/>
                <w:bCs/>
                <w:sz w:val="22"/>
              </w:rPr>
            </w:pPr>
          </w:p>
          <w:p w:rsidR="00076930" w:rsidRDefault="00826ED1" w:rsidP="00F42023">
            <w:pPr>
              <w:ind w:left="2231" w:right="213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2 -</w:t>
            </w:r>
            <w:r w:rsidR="00756BFA">
              <w:rPr>
                <w:rFonts w:ascii="Arial" w:hAnsi="Arial" w:cs="Arial"/>
                <w:bCs/>
                <w:sz w:val="22"/>
              </w:rPr>
              <w:t xml:space="preserve"> </w:t>
            </w:r>
            <w:r w:rsidR="002E736E">
              <w:rPr>
                <w:rFonts w:ascii="Arial" w:hAnsi="Arial" w:cs="Arial"/>
                <w:bCs/>
                <w:sz w:val="22"/>
              </w:rPr>
              <w:t xml:space="preserve">La </w:t>
            </w:r>
            <w:r w:rsidR="00756BFA">
              <w:rPr>
                <w:rFonts w:ascii="Arial" w:hAnsi="Arial" w:cs="Arial"/>
                <w:bCs/>
                <w:sz w:val="22"/>
              </w:rPr>
              <w:t>grille d’emploi du temps</w:t>
            </w:r>
            <w:r w:rsidR="009606F4">
              <w:rPr>
                <w:rFonts w:ascii="Arial" w:hAnsi="Arial" w:cs="Arial"/>
                <w:bCs/>
                <w:sz w:val="22"/>
              </w:rPr>
              <w:t xml:space="preserve"> </w:t>
            </w:r>
            <w:r w:rsidR="002E736E">
              <w:rPr>
                <w:rFonts w:ascii="Arial" w:hAnsi="Arial" w:cs="Arial"/>
                <w:bCs/>
                <w:sz w:val="22"/>
              </w:rPr>
              <w:t xml:space="preserve">scolaire </w:t>
            </w:r>
            <w:r w:rsidR="00EA2435">
              <w:rPr>
                <w:rFonts w:ascii="Arial" w:hAnsi="Arial" w:cs="Arial"/>
                <w:bCs/>
                <w:sz w:val="22"/>
              </w:rPr>
              <w:t>Merci de n</w:t>
            </w:r>
            <w:r w:rsidR="005D7C4D">
              <w:rPr>
                <w:rFonts w:ascii="Arial" w:hAnsi="Arial" w:cs="Arial"/>
                <w:bCs/>
                <w:sz w:val="22"/>
              </w:rPr>
              <w:t>’</w:t>
            </w:r>
            <w:r w:rsidR="00EA2435">
              <w:rPr>
                <w:rFonts w:ascii="Arial" w:hAnsi="Arial" w:cs="Arial"/>
                <w:bCs/>
                <w:sz w:val="22"/>
              </w:rPr>
              <w:t xml:space="preserve">utiliser </w:t>
            </w:r>
            <w:r w:rsidR="005D7C4D">
              <w:rPr>
                <w:rFonts w:ascii="Arial" w:hAnsi="Arial" w:cs="Arial"/>
                <w:bCs/>
                <w:sz w:val="22"/>
              </w:rPr>
              <w:t>que la</w:t>
            </w:r>
            <w:r w:rsidR="00EA2435">
              <w:rPr>
                <w:rFonts w:ascii="Arial" w:hAnsi="Arial" w:cs="Arial"/>
                <w:bCs/>
                <w:sz w:val="22"/>
              </w:rPr>
              <w:t xml:space="preserve"> gri</w:t>
            </w:r>
            <w:r w:rsidR="005D7C4D">
              <w:rPr>
                <w:rFonts w:ascii="Arial" w:hAnsi="Arial" w:cs="Arial"/>
                <w:bCs/>
                <w:sz w:val="22"/>
              </w:rPr>
              <w:t xml:space="preserve">lle d’emploi du temps </w:t>
            </w:r>
            <w:r w:rsidR="00EA2435">
              <w:rPr>
                <w:rFonts w:ascii="Arial" w:hAnsi="Arial" w:cs="Arial"/>
                <w:bCs/>
                <w:sz w:val="22"/>
              </w:rPr>
              <w:t xml:space="preserve">mise à </w:t>
            </w:r>
            <w:r w:rsidR="00FB629B">
              <w:rPr>
                <w:rFonts w:ascii="Arial" w:hAnsi="Arial" w:cs="Arial"/>
                <w:bCs/>
                <w:sz w:val="22"/>
              </w:rPr>
              <w:t xml:space="preserve">votre </w:t>
            </w:r>
            <w:r w:rsidR="00EA2435">
              <w:rPr>
                <w:rFonts w:ascii="Arial" w:hAnsi="Arial" w:cs="Arial"/>
                <w:bCs/>
                <w:sz w:val="22"/>
              </w:rPr>
              <w:t>disposition sur le bureau numérique</w:t>
            </w:r>
            <w:r>
              <w:rPr>
                <w:rFonts w:ascii="Arial" w:hAnsi="Arial" w:cs="Arial"/>
                <w:bCs/>
                <w:sz w:val="22"/>
              </w:rPr>
              <w:t xml:space="preserve"> pour</w:t>
            </w:r>
            <w:r w:rsidR="00FB629B">
              <w:rPr>
                <w:rFonts w:ascii="Arial" w:hAnsi="Arial" w:cs="Arial"/>
                <w:bCs/>
                <w:sz w:val="22"/>
              </w:rPr>
              <w:t xml:space="preserve"> l’année 201</w:t>
            </w:r>
            <w:r w:rsidR="005D7C4D">
              <w:rPr>
                <w:rFonts w:ascii="Arial" w:hAnsi="Arial" w:cs="Arial"/>
                <w:bCs/>
                <w:sz w:val="22"/>
              </w:rPr>
              <w:t>9</w:t>
            </w:r>
            <w:r w:rsidR="00FB629B">
              <w:rPr>
                <w:rFonts w:ascii="Arial" w:hAnsi="Arial" w:cs="Arial"/>
                <w:bCs/>
                <w:sz w:val="22"/>
              </w:rPr>
              <w:t>/20</w:t>
            </w:r>
            <w:r w:rsidR="005D7C4D">
              <w:rPr>
                <w:rFonts w:ascii="Arial" w:hAnsi="Arial" w:cs="Arial"/>
                <w:bCs/>
                <w:sz w:val="22"/>
              </w:rPr>
              <w:t>20</w:t>
            </w:r>
            <w:r w:rsidR="00EA2435">
              <w:rPr>
                <w:rFonts w:ascii="Arial" w:hAnsi="Arial" w:cs="Arial"/>
                <w:bCs/>
                <w:sz w:val="22"/>
              </w:rPr>
              <w:t>.</w:t>
            </w:r>
          </w:p>
          <w:p w:rsidR="004E1B69" w:rsidRDefault="004E1B69" w:rsidP="00F42023">
            <w:pPr>
              <w:ind w:left="2231" w:right="213"/>
              <w:jc w:val="both"/>
              <w:rPr>
                <w:rFonts w:ascii="Arial" w:hAnsi="Arial" w:cs="Arial"/>
                <w:bCs/>
                <w:sz w:val="22"/>
              </w:rPr>
            </w:pPr>
          </w:p>
          <w:p w:rsidR="009606F4" w:rsidRDefault="009606F4" w:rsidP="00F42023">
            <w:pPr>
              <w:ind w:left="2231" w:right="213"/>
              <w:jc w:val="both"/>
              <w:rPr>
                <w:rFonts w:ascii="Arial" w:hAnsi="Arial" w:cs="Arial"/>
                <w:bCs/>
                <w:sz w:val="22"/>
              </w:rPr>
            </w:pPr>
          </w:p>
          <w:p w:rsidR="009606F4" w:rsidRDefault="009606F4" w:rsidP="00F42023">
            <w:pPr>
              <w:ind w:left="2231" w:right="213"/>
              <w:jc w:val="both"/>
              <w:rPr>
                <w:rFonts w:ascii="Arial" w:hAnsi="Arial" w:cs="Arial"/>
                <w:bCs/>
                <w:sz w:val="22"/>
              </w:rPr>
            </w:pPr>
          </w:p>
          <w:p w:rsidR="000616DD" w:rsidRDefault="00B94542" w:rsidP="00F42023">
            <w:pPr>
              <w:ind w:left="564" w:right="213"/>
              <w:jc w:val="both"/>
              <w:rPr>
                <w:rFonts w:ascii="Arial" w:hAnsi="Arial" w:cs="Arial"/>
                <w:bCs/>
                <w:sz w:val="22"/>
              </w:rPr>
            </w:pPr>
            <w:r w:rsidRPr="00B94542">
              <w:rPr>
                <w:rFonts w:ascii="Arial" w:hAnsi="Arial" w:cs="Arial"/>
                <w:bCs/>
                <w:sz w:val="22"/>
                <w:u w:val="single"/>
              </w:rPr>
              <w:t>Important </w:t>
            </w:r>
            <w:r>
              <w:rPr>
                <w:rFonts w:ascii="Arial" w:hAnsi="Arial" w:cs="Arial"/>
                <w:bCs/>
                <w:sz w:val="22"/>
              </w:rPr>
              <w:t xml:space="preserve">: Il n’y pas de période d’essai pour les </w:t>
            </w:r>
            <w:r w:rsidR="005D7C4D">
              <w:rPr>
                <w:rFonts w:ascii="Arial" w:hAnsi="Arial" w:cs="Arial"/>
                <w:bCs/>
                <w:sz w:val="22"/>
              </w:rPr>
              <w:t>renouvellements d’affectations</w:t>
            </w:r>
            <w:r>
              <w:rPr>
                <w:rFonts w:ascii="Arial" w:hAnsi="Arial" w:cs="Arial"/>
                <w:bCs/>
                <w:sz w:val="22"/>
              </w:rPr>
              <w:t>.</w:t>
            </w:r>
          </w:p>
          <w:p w:rsidR="00B94542" w:rsidRDefault="00B94542" w:rsidP="00F42023">
            <w:pPr>
              <w:ind w:left="564" w:right="213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Lors de leur temps de présence sur l’école, les </w:t>
            </w:r>
            <w:r w:rsidR="00576959">
              <w:rPr>
                <w:rFonts w:ascii="Arial" w:hAnsi="Arial" w:cs="Arial"/>
                <w:bCs/>
                <w:sz w:val="22"/>
              </w:rPr>
              <w:t>accompagnants</w:t>
            </w:r>
            <w:r>
              <w:rPr>
                <w:rFonts w:ascii="Arial" w:hAnsi="Arial" w:cs="Arial"/>
                <w:bCs/>
                <w:sz w:val="22"/>
              </w:rPr>
              <w:t xml:space="preserve"> sont p</w:t>
            </w:r>
            <w:r w:rsidR="002E10F9">
              <w:rPr>
                <w:rFonts w:ascii="Arial" w:hAnsi="Arial" w:cs="Arial"/>
                <w:bCs/>
                <w:sz w:val="22"/>
              </w:rPr>
              <w:t>lacé</w:t>
            </w:r>
            <w:r>
              <w:rPr>
                <w:rFonts w:ascii="Arial" w:hAnsi="Arial" w:cs="Arial"/>
                <w:bCs/>
                <w:sz w:val="22"/>
              </w:rPr>
              <w:t>s sous votre autorité foncti</w:t>
            </w:r>
            <w:r w:rsidR="002E10F9">
              <w:rPr>
                <w:rFonts w:ascii="Arial" w:hAnsi="Arial" w:cs="Arial"/>
                <w:bCs/>
                <w:sz w:val="22"/>
              </w:rPr>
              <w:t xml:space="preserve">onnelle, il vous appartient de </w:t>
            </w:r>
            <w:r>
              <w:rPr>
                <w:rFonts w:ascii="Arial" w:hAnsi="Arial" w:cs="Arial"/>
                <w:bCs/>
                <w:sz w:val="22"/>
              </w:rPr>
              <w:t xml:space="preserve">signaler immédiatement et par écrit, toute absence, retard ou dysfonctionnement des </w:t>
            </w:r>
            <w:r w:rsidR="00576959">
              <w:rPr>
                <w:rFonts w:ascii="Arial" w:hAnsi="Arial" w:cs="Arial"/>
                <w:bCs/>
                <w:sz w:val="22"/>
              </w:rPr>
              <w:t>accompagnants</w:t>
            </w:r>
            <w:r>
              <w:rPr>
                <w:rFonts w:ascii="Arial" w:hAnsi="Arial" w:cs="Arial"/>
                <w:bCs/>
                <w:sz w:val="22"/>
              </w:rPr>
              <w:t xml:space="preserve">. </w:t>
            </w:r>
          </w:p>
          <w:p w:rsidR="00576959" w:rsidRDefault="00576959" w:rsidP="00F42023">
            <w:pPr>
              <w:ind w:left="564" w:right="213"/>
              <w:jc w:val="both"/>
              <w:rPr>
                <w:rFonts w:ascii="Arial" w:hAnsi="Arial" w:cs="Arial"/>
                <w:bCs/>
                <w:sz w:val="22"/>
              </w:rPr>
            </w:pPr>
          </w:p>
          <w:p w:rsidR="00076930" w:rsidRPr="00E24FA6" w:rsidRDefault="00076930" w:rsidP="000616DD">
            <w:pPr>
              <w:ind w:left="564" w:right="213"/>
              <w:jc w:val="both"/>
              <w:rPr>
                <w:rFonts w:ascii="Arial" w:hAnsi="Arial" w:cs="Arial"/>
                <w:sz w:val="22"/>
              </w:rPr>
            </w:pPr>
            <w:r w:rsidRPr="00076930">
              <w:rPr>
                <w:rFonts w:ascii="Arial" w:hAnsi="Arial" w:cs="Arial"/>
                <w:sz w:val="22"/>
              </w:rPr>
              <w:t xml:space="preserve">                                 </w:t>
            </w:r>
          </w:p>
          <w:p w:rsidR="00E16D34" w:rsidRPr="00E24FA6" w:rsidRDefault="00E16D34" w:rsidP="00F42023">
            <w:pPr>
              <w:ind w:left="282" w:right="213"/>
              <w:jc w:val="both"/>
              <w:rPr>
                <w:rFonts w:ascii="Arial" w:hAnsi="Arial" w:cs="Arial"/>
                <w:sz w:val="22"/>
              </w:rPr>
            </w:pPr>
          </w:p>
          <w:p w:rsidR="00E16D34" w:rsidRPr="00E24FA6" w:rsidRDefault="00E16D34" w:rsidP="00F42023">
            <w:pPr>
              <w:ind w:left="282" w:right="213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219E2" w:rsidRDefault="004219E2" w:rsidP="00F42023">
      <w:pPr>
        <w:jc w:val="both"/>
      </w:pPr>
    </w:p>
    <w:sectPr w:rsidR="004219E2" w:rsidSect="00E24FA6">
      <w:pgSz w:w="11906" w:h="16838"/>
      <w:pgMar w:top="726" w:right="720" w:bottom="720" w:left="72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CE" w:rsidRDefault="001C75CE" w:rsidP="00E660B1">
      <w:r>
        <w:separator/>
      </w:r>
    </w:p>
  </w:endnote>
  <w:endnote w:type="continuationSeparator" w:id="0">
    <w:p w:rsidR="001C75CE" w:rsidRDefault="001C75CE" w:rsidP="00E6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CE" w:rsidRDefault="001C75CE" w:rsidP="00E660B1">
      <w:r>
        <w:separator/>
      </w:r>
    </w:p>
  </w:footnote>
  <w:footnote w:type="continuationSeparator" w:id="0">
    <w:p w:rsidR="001C75CE" w:rsidRDefault="001C75CE" w:rsidP="00E66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0769"/>
    <w:multiLevelType w:val="hybridMultilevel"/>
    <w:tmpl w:val="5FF6B8D0"/>
    <w:lvl w:ilvl="0" w:tplc="152C9CA2">
      <w:numFmt w:val="bullet"/>
      <w:lvlText w:val="-"/>
      <w:lvlJc w:val="left"/>
      <w:pPr>
        <w:tabs>
          <w:tab w:val="num" w:pos="882"/>
        </w:tabs>
        <w:ind w:left="88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30"/>
    <w:rsid w:val="00022271"/>
    <w:rsid w:val="00047817"/>
    <w:rsid w:val="00054FD8"/>
    <w:rsid w:val="000616DD"/>
    <w:rsid w:val="00076930"/>
    <w:rsid w:val="00093A60"/>
    <w:rsid w:val="00184F2B"/>
    <w:rsid w:val="00187D4A"/>
    <w:rsid w:val="001C75CE"/>
    <w:rsid w:val="001D2D26"/>
    <w:rsid w:val="002227B8"/>
    <w:rsid w:val="002E10F9"/>
    <w:rsid w:val="002E736E"/>
    <w:rsid w:val="00303597"/>
    <w:rsid w:val="00322A45"/>
    <w:rsid w:val="003A12A4"/>
    <w:rsid w:val="003E108A"/>
    <w:rsid w:val="004173E3"/>
    <w:rsid w:val="004219E2"/>
    <w:rsid w:val="0042397B"/>
    <w:rsid w:val="00425FF8"/>
    <w:rsid w:val="004E1B69"/>
    <w:rsid w:val="00576959"/>
    <w:rsid w:val="005823AD"/>
    <w:rsid w:val="005D7C4D"/>
    <w:rsid w:val="006046AC"/>
    <w:rsid w:val="00604FC3"/>
    <w:rsid w:val="006B6005"/>
    <w:rsid w:val="00722E4E"/>
    <w:rsid w:val="00756BFA"/>
    <w:rsid w:val="00777A20"/>
    <w:rsid w:val="00826ED1"/>
    <w:rsid w:val="00832083"/>
    <w:rsid w:val="008A5927"/>
    <w:rsid w:val="008C5B5D"/>
    <w:rsid w:val="008D6437"/>
    <w:rsid w:val="008E0736"/>
    <w:rsid w:val="009606F4"/>
    <w:rsid w:val="0096579A"/>
    <w:rsid w:val="009A5970"/>
    <w:rsid w:val="00A34A49"/>
    <w:rsid w:val="00AD637E"/>
    <w:rsid w:val="00B5794C"/>
    <w:rsid w:val="00B67AF1"/>
    <w:rsid w:val="00B84816"/>
    <w:rsid w:val="00B94542"/>
    <w:rsid w:val="00BA669D"/>
    <w:rsid w:val="00BB069F"/>
    <w:rsid w:val="00C25246"/>
    <w:rsid w:val="00C76180"/>
    <w:rsid w:val="00CC38B4"/>
    <w:rsid w:val="00D01A9A"/>
    <w:rsid w:val="00E06594"/>
    <w:rsid w:val="00E16D34"/>
    <w:rsid w:val="00E24FA6"/>
    <w:rsid w:val="00E30B98"/>
    <w:rsid w:val="00E52923"/>
    <w:rsid w:val="00E660B1"/>
    <w:rsid w:val="00E9360D"/>
    <w:rsid w:val="00EA2435"/>
    <w:rsid w:val="00F42023"/>
    <w:rsid w:val="00F672E0"/>
    <w:rsid w:val="00F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930"/>
    <w:pPr>
      <w:ind w:left="708"/>
    </w:pPr>
  </w:style>
  <w:style w:type="character" w:styleId="Lienhypertexte">
    <w:name w:val="Hyperlink"/>
    <w:basedOn w:val="Policepardfaut"/>
    <w:uiPriority w:val="99"/>
    <w:unhideWhenUsed/>
    <w:rsid w:val="00C7618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660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60B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6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60B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930"/>
    <w:pPr>
      <w:ind w:left="708"/>
    </w:pPr>
  </w:style>
  <w:style w:type="character" w:styleId="Lienhypertexte">
    <w:name w:val="Hyperlink"/>
    <w:basedOn w:val="Policepardfaut"/>
    <w:uiPriority w:val="99"/>
    <w:unhideWhenUsed/>
    <w:rsid w:val="00C7618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660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60B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6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60B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DSDEN22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Merpaux</dc:creator>
  <cp:lastModifiedBy>Sofia Merpaux</cp:lastModifiedBy>
  <cp:revision>14</cp:revision>
  <cp:lastPrinted>2019-06-28T14:20:00Z</cp:lastPrinted>
  <dcterms:created xsi:type="dcterms:W3CDTF">2018-07-10T11:50:00Z</dcterms:created>
  <dcterms:modified xsi:type="dcterms:W3CDTF">2019-07-02T09:37:00Z</dcterms:modified>
</cp:coreProperties>
</file>